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B8B04">
      <w:pPr>
        <w:overflowPunct w:val="0"/>
        <w:rPr>
          <w:rFonts w:hint="eastAsia" w:ascii="宋体" w:hAnsi="宋体" w:eastAsia="宋体" w:cs="宋体"/>
          <w:color w:val="auto"/>
          <w:sz w:val="44"/>
          <w:szCs w:val="44"/>
          <w:highlight w:val="none"/>
        </w:rPr>
      </w:pPr>
    </w:p>
    <w:p w14:paraId="1BBC0351">
      <w:pPr>
        <w:overflowPunct w:val="0"/>
        <w:spacing w:line="360" w:lineRule="auto"/>
        <w:jc w:val="center"/>
        <w:rPr>
          <w:rFonts w:hint="eastAsia" w:ascii="宋体" w:hAnsi="宋体" w:eastAsia="宋体" w:cs="宋体"/>
          <w:b/>
          <w:color w:val="auto"/>
          <w:sz w:val="48"/>
          <w:szCs w:val="48"/>
          <w:highlight w:val="none"/>
        </w:rPr>
      </w:pPr>
    </w:p>
    <w:p w14:paraId="7C8316BF">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浏阳市农村产权交易中心项目一农村产权交易中心办公多媒体采购项目</w:t>
      </w:r>
    </w:p>
    <w:p w14:paraId="3ECA8DBA">
      <w:pPr>
        <w:overflowPunct w:val="0"/>
        <w:spacing w:line="360" w:lineRule="auto"/>
        <w:jc w:val="center"/>
        <w:rPr>
          <w:rFonts w:hint="eastAsia" w:ascii="宋体" w:hAnsi="宋体" w:eastAsia="宋体" w:cs="宋体"/>
          <w:b/>
          <w:bCs/>
          <w:color w:val="auto"/>
          <w:spacing w:val="30"/>
          <w:w w:val="90"/>
          <w:sz w:val="52"/>
          <w:szCs w:val="52"/>
          <w:highlight w:val="none"/>
        </w:rPr>
      </w:pPr>
    </w:p>
    <w:p w14:paraId="1509C81B">
      <w:pPr>
        <w:overflowPunct w:val="0"/>
        <w:spacing w:line="360" w:lineRule="auto"/>
        <w:jc w:val="center"/>
        <w:rPr>
          <w:rFonts w:hint="eastAsia"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442EF056">
      <w:pPr>
        <w:overflowPunct w:val="0"/>
        <w:jc w:val="center"/>
        <w:rPr>
          <w:rFonts w:hint="eastAsia" w:ascii="宋体" w:hAnsi="宋体" w:eastAsia="宋体" w:cs="宋体"/>
          <w:b/>
          <w:color w:val="auto"/>
          <w:sz w:val="28"/>
          <w:szCs w:val="28"/>
          <w:highlight w:val="none"/>
        </w:rPr>
      </w:pPr>
    </w:p>
    <w:p w14:paraId="7BFE3006">
      <w:pPr>
        <w:overflowPunct w:val="0"/>
        <w:jc w:val="center"/>
        <w:rPr>
          <w:rFonts w:hint="eastAsia" w:ascii="宋体" w:hAnsi="宋体" w:eastAsia="宋体" w:cs="宋体"/>
          <w:color w:val="auto"/>
          <w:sz w:val="44"/>
          <w:szCs w:val="44"/>
          <w:highlight w:val="none"/>
        </w:rPr>
      </w:pPr>
    </w:p>
    <w:p w14:paraId="2AB8A035">
      <w:pPr>
        <w:overflowPunct w:val="0"/>
        <w:jc w:val="center"/>
        <w:rPr>
          <w:rFonts w:hint="eastAsia" w:ascii="宋体" w:hAnsi="宋体" w:eastAsia="宋体" w:cs="宋体"/>
          <w:color w:val="auto"/>
          <w:sz w:val="44"/>
          <w:szCs w:val="44"/>
          <w:highlight w:val="none"/>
        </w:rPr>
      </w:pPr>
    </w:p>
    <w:p w14:paraId="3FBAF276">
      <w:pPr>
        <w:overflowPunct w:val="0"/>
        <w:rPr>
          <w:rFonts w:hint="eastAsia" w:ascii="宋体" w:hAnsi="宋体" w:eastAsia="宋体" w:cs="宋体"/>
          <w:color w:val="auto"/>
          <w:sz w:val="32"/>
          <w:highlight w:val="none"/>
        </w:rPr>
      </w:pPr>
    </w:p>
    <w:p w14:paraId="514CE14D">
      <w:pPr>
        <w:overflowPunct w:val="0"/>
        <w:ind w:firstLine="420"/>
        <w:rPr>
          <w:rFonts w:hint="eastAsia" w:ascii="宋体" w:hAnsi="宋体" w:eastAsia="宋体" w:cs="宋体"/>
          <w:color w:val="auto"/>
          <w:sz w:val="32"/>
          <w:highlight w:val="none"/>
        </w:rPr>
      </w:pPr>
    </w:p>
    <w:p w14:paraId="27518F30">
      <w:pPr>
        <w:overflowPunct w:val="0"/>
        <w:rPr>
          <w:rFonts w:hint="eastAsia" w:ascii="宋体" w:hAnsi="宋体" w:eastAsia="宋体" w:cs="宋体"/>
          <w:color w:val="auto"/>
          <w:sz w:val="32"/>
          <w:highlight w:val="none"/>
        </w:rPr>
      </w:pPr>
    </w:p>
    <w:p w14:paraId="59BF2510">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浏阳市文化旅游产业发展有限责任公司</w:t>
      </w:r>
    </w:p>
    <w:p w14:paraId="74823747">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14:paraId="09E9F534">
      <w:pPr>
        <w:spacing w:line="640" w:lineRule="exact"/>
        <w:jc w:val="center"/>
        <w:rPr>
          <w:rFonts w:hint="eastAsia" w:ascii="宋体" w:hAnsi="宋体" w:eastAsia="宋体" w:cs="宋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lang w:eastAsia="zh-CN"/>
        </w:rPr>
        <w:t>月</w:t>
      </w:r>
    </w:p>
    <w:p w14:paraId="2F931C19">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浏阳市农村产权交易中心项目一农村产权交易中心办公多媒体采购项目招标公告</w:t>
      </w:r>
    </w:p>
    <w:p w14:paraId="6439894E">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采购项目名称：</w:t>
      </w:r>
      <w:r>
        <w:rPr>
          <w:rFonts w:hint="eastAsia" w:ascii="宋体" w:hAnsi="宋体" w:eastAsia="宋体" w:cs="宋体"/>
          <w:color w:val="auto"/>
          <w:kern w:val="2"/>
          <w:sz w:val="24"/>
          <w:szCs w:val="24"/>
          <w:highlight w:val="none"/>
          <w:lang w:val="en-US" w:eastAsia="zh-CN" w:bidi="ar-SA"/>
        </w:rPr>
        <w:t>浏阳市农村产权交易中心项目一农村产权交易中心办公多媒体采购项目</w:t>
      </w:r>
    </w:p>
    <w:p w14:paraId="1592CE1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0" w:name="OLE_LINK3"/>
      <w:r>
        <w:rPr>
          <w:rFonts w:hint="eastAsia" w:ascii="宋体" w:hAnsi="宋体" w:eastAsia="宋体" w:cs="宋体"/>
          <w:b/>
          <w:bCs/>
          <w:color w:val="auto"/>
          <w:kern w:val="2"/>
          <w:sz w:val="24"/>
          <w:szCs w:val="24"/>
          <w:highlight w:val="none"/>
          <w:lang w:val="en-US" w:eastAsia="zh-CN" w:bidi="ar-SA"/>
        </w:rPr>
        <w:t>采购上限价及内容：</w:t>
      </w:r>
      <w:bookmarkStart w:id="1" w:name="OLE_LINK1"/>
    </w:p>
    <w:p w14:paraId="4DE9EC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247757.75元（总价和单价均不得超采购清单价，否则作否决投标处理）。</w:t>
      </w:r>
    </w:p>
    <w:p w14:paraId="388AED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宋体"/>
          <w:b w:val="0"/>
          <w:bCs w:val="0"/>
          <w:color w:val="auto"/>
          <w:kern w:val="2"/>
          <w:sz w:val="24"/>
          <w:szCs w:val="24"/>
          <w:highlight w:val="none"/>
          <w:lang w:val="en-US" w:eastAsia="zh-CN" w:bidi="ar-SA"/>
        </w:rPr>
        <w:t>采购办公多媒体</w:t>
      </w:r>
      <w:bookmarkEnd w:id="1"/>
      <w:r>
        <w:rPr>
          <w:rFonts w:hint="eastAsia" w:ascii="宋体" w:hAnsi="宋体" w:eastAsia="宋体" w:cs="宋体"/>
          <w:b w:val="0"/>
          <w:bCs w:val="0"/>
          <w:color w:val="auto"/>
          <w:kern w:val="2"/>
          <w:sz w:val="24"/>
          <w:szCs w:val="24"/>
          <w:highlight w:val="none"/>
          <w:lang w:val="en-US" w:eastAsia="zh-CN" w:bidi="ar-SA"/>
        </w:rPr>
        <w:t>设备，详见采购清单。</w:t>
      </w:r>
    </w:p>
    <w:p w14:paraId="651D64AE">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14:paraId="5FB189A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14:paraId="1F0A29D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14:paraId="0E9F2A21">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14:paraId="702AECA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14:paraId="037E459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A8CBE2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14:paraId="6442177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14:paraId="133537B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12月至2025年2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14:paraId="3A914995">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14:paraId="60B6FFA1">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14:paraId="7DB4464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14:paraId="76F6166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2025年4月7日10:00（北京时间）</w:t>
      </w:r>
    </w:p>
    <w:p w14:paraId="502F372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14:paraId="1BF59653">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2025年4月7日10:00</w:t>
      </w:r>
      <w:r>
        <w:rPr>
          <w:rFonts w:hint="eastAsia" w:ascii="宋体" w:hAnsi="宋体" w:eastAsia="宋体" w:cs="宋体"/>
          <w:color w:val="auto"/>
          <w:sz w:val="24"/>
          <w:szCs w:val="24"/>
          <w:highlight w:val="none"/>
          <w:u w:val="single"/>
        </w:rPr>
        <w:t>（北京时间）</w:t>
      </w:r>
    </w:p>
    <w:p w14:paraId="4F461FF2">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14:paraId="738CD3E8">
      <w:pPr>
        <w:keepNext w:val="0"/>
        <w:keepLines w:val="0"/>
        <w:pageBreakBefore w:val="0"/>
        <w:widowControl w:val="0"/>
        <w:kinsoku/>
        <w:wordWrap w:val="0"/>
        <w:overflowPunct/>
        <w:topLinePunct w:val="0"/>
        <w:autoSpaceDE/>
        <w:autoSpaceDN/>
        <w:bidi w:val="0"/>
        <w:adjustRightInd/>
        <w:snapToGrid/>
        <w:spacing w:line="480" w:lineRule="exact"/>
        <w:ind w:left="239" w:leftChars="114"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2025年4月1日17:00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14:paraId="5436EE2F">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27F2A10F">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14:paraId="251B5239">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14:paraId="67100768">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3.10、中标方应在公示期结束后7日内与招标人对接，并完成采购合同签订。逾期未签订的，视为放弃中标。投标人放弃中标的，在3年内不得参与浏发集团及下属公司任何项目的招标采购活动。</w:t>
      </w:r>
    </w:p>
    <w:p w14:paraId="0AA6854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2" w:name="_Toc3730"/>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2"/>
    </w:p>
    <w:p w14:paraId="7912264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bookmarkEnd w:id="0"/>
      <w:r>
        <w:rPr>
          <w:rFonts w:hint="eastAsia" w:ascii="宋体" w:hAnsi="宋体" w:eastAsia="宋体" w:cs="宋体"/>
          <w:b/>
          <w:bCs/>
          <w:color w:val="auto"/>
          <w:kern w:val="2"/>
          <w:sz w:val="24"/>
          <w:szCs w:val="24"/>
          <w:highlight w:val="none"/>
          <w:lang w:val="en-US" w:eastAsia="zh-CN" w:bidi="ar-SA"/>
        </w:rPr>
        <w:t>获取招标文件</w:t>
      </w:r>
    </w:p>
    <w:p w14:paraId="3EA3B5AB">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14:paraId="03BBADC7">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14:paraId="5CFD3168">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、联系方式：</w:t>
      </w:r>
      <w:r>
        <w:rPr>
          <w:rFonts w:hint="eastAsia" w:ascii="宋体" w:hAnsi="宋体" w:eastAsia="宋体" w:cs="宋体"/>
          <w:color w:val="auto"/>
          <w:sz w:val="24"/>
          <w:szCs w:val="24"/>
          <w:highlight w:val="none"/>
        </w:rPr>
        <w:t>有关此次采购事宜，可向下列单位查询：</w:t>
      </w:r>
    </w:p>
    <w:p w14:paraId="72165271">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浏阳市文化旅游产业发展有限责任公司</w:t>
      </w:r>
    </w:p>
    <w:p w14:paraId="1B47C1EB">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14:paraId="0DE3626E">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14:paraId="482900B2">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14:paraId="02C79E54">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1204061E">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14:paraId="572577A6">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日</w:t>
      </w:r>
    </w:p>
    <w:p w14:paraId="11BCAB1C">
      <w:pP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br w:type="page"/>
      </w:r>
    </w:p>
    <w:p w14:paraId="287CDE9B">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浏阳市农村产权交易中心项目一农村产权交易中心办公多媒体采购项目</w:t>
      </w:r>
      <w:r>
        <w:rPr>
          <w:rFonts w:hint="eastAsia" w:ascii="宋体" w:hAnsi="宋体" w:eastAsia="宋体" w:cs="宋体"/>
          <w:b/>
          <w:bCs/>
          <w:color w:val="auto"/>
          <w:kern w:val="0"/>
          <w:sz w:val="36"/>
          <w:szCs w:val="36"/>
          <w:highlight w:val="none"/>
          <w:lang w:val="en-US" w:eastAsia="zh-CN" w:bidi="ar-SA"/>
        </w:rPr>
        <w:t>招标文件</w:t>
      </w:r>
    </w:p>
    <w:p w14:paraId="7D5A1C42">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highlight w:val="none"/>
          <w:lang w:val="en-US" w:eastAsia="zh-CN" w:bidi="ar-SA"/>
        </w:rPr>
        <w:t>浏阳市农村产权交易中心项目一农村产权交易中心办公多媒体采购项目</w:t>
      </w:r>
      <w:r>
        <w:rPr>
          <w:rFonts w:hint="eastAsia" w:ascii="宋体" w:hAnsi="宋体" w:eastAsia="宋体" w:cs="宋体"/>
          <w:color w:val="auto"/>
          <w:kern w:val="0"/>
          <w:sz w:val="24"/>
          <w:szCs w:val="24"/>
          <w:highlight w:val="none"/>
          <w:lang w:val="en-US" w:eastAsia="zh-CN" w:bidi="ar-SA"/>
        </w:rPr>
        <w:t>进行采购，现进行公开招标。</w:t>
      </w:r>
    </w:p>
    <w:p w14:paraId="6894426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采购</w:t>
      </w:r>
      <w:r>
        <w:rPr>
          <w:rFonts w:hint="eastAsia" w:ascii="宋体" w:hAnsi="宋体" w:eastAsia="宋体" w:cs="宋体"/>
          <w:color w:val="auto"/>
          <w:kern w:val="2"/>
          <w:sz w:val="24"/>
          <w:szCs w:val="24"/>
          <w:highlight w:val="none"/>
          <w:lang w:val="en-US" w:eastAsia="zh-CN" w:bidi="ar-SA"/>
        </w:rPr>
        <w:t>办公多媒体设备</w:t>
      </w:r>
      <w:r>
        <w:rPr>
          <w:rFonts w:hint="eastAsia" w:ascii="宋体" w:hAnsi="宋体" w:eastAsia="宋体" w:cs="宋体"/>
          <w:b w:val="0"/>
          <w:bCs w:val="0"/>
          <w:color w:val="auto"/>
          <w:kern w:val="2"/>
          <w:sz w:val="24"/>
          <w:szCs w:val="24"/>
          <w:highlight w:val="none"/>
          <w:lang w:val="en-US" w:eastAsia="zh-CN" w:bidi="ar-SA"/>
        </w:rPr>
        <w:t>，详见采购清单。</w:t>
      </w:r>
    </w:p>
    <w:p w14:paraId="30CD23C9">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：浏阳市农村产权交易中心项目。</w:t>
      </w:r>
    </w:p>
    <w:p w14:paraId="40F27EC3">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1CA3F07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合同签订后35日历天内货到并完成安装调试，达到交付使用标准。</w:t>
      </w:r>
    </w:p>
    <w:p w14:paraId="5E2FB3A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14:paraId="18D0773E">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color w:val="auto"/>
          <w:sz w:val="24"/>
          <w:szCs w:val="24"/>
          <w:highlight w:val="none"/>
          <w:rtl w:val="0"/>
          <w:lang w:val="zh-CN" w:eastAsia="zh-CN"/>
        </w:rPr>
        <w:t>验收合格之日起</w:t>
      </w:r>
      <w:r>
        <w:rPr>
          <w:rFonts w:hint="eastAsia" w:ascii="宋体" w:hAnsi="宋体" w:eastAsia="宋体" w:cs="宋体"/>
          <w:color w:val="auto"/>
          <w:sz w:val="24"/>
          <w:szCs w:val="24"/>
          <w:highlight w:val="none"/>
          <w:rtl w:val="0"/>
          <w:lang w:val="en-US" w:eastAsia="zh-CN"/>
        </w:rPr>
        <w:t>24个月</w:t>
      </w:r>
      <w:r>
        <w:rPr>
          <w:rFonts w:hint="eastAsia" w:ascii="宋体" w:hAnsi="宋体" w:eastAsia="宋体" w:cs="宋体"/>
          <w:color w:val="auto"/>
          <w:sz w:val="24"/>
          <w:szCs w:val="24"/>
          <w:highlight w:val="none"/>
          <w:rtl w:val="0"/>
          <w:lang w:val="zh-CN" w:eastAsia="zh-CN"/>
        </w:rPr>
        <w:t>。</w:t>
      </w:r>
    </w:p>
    <w:p w14:paraId="2FB47FB9">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4016C6EC">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14:paraId="0BAB887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24B5D03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63ED9541">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2024年12月至2025年2月）依法缴纳税收的证明（纳税凭证复印件），或者委托他人缴纳的委托代办协议和近三个月内任意一个月（2024年12月至2025年2月）的缴纳证明（收据复印件），或者法定征收机关出具的依法免缴税收的证明原件。</w:t>
      </w:r>
    </w:p>
    <w:p w14:paraId="3E2CC9A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5BDA448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60826965">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14:paraId="59FF0AA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14:paraId="37D499A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121F3F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16D890F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4E93B5F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14D99C31">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w:t>
      </w:r>
      <w:bookmarkStart w:id="3" w:name="OLE_LINK2"/>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：247757.75元（总价和单价均不得超采购清单价，否则作否决投标处理）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bookmarkEnd w:id="3"/>
    </w:p>
    <w:p w14:paraId="32F208A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14:paraId="0986ED69">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4" w:name="_Toc401742306"/>
      <w:bookmarkStart w:id="5" w:name="_Toc359570304"/>
    </w:p>
    <w:p w14:paraId="7983D82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1、全部货物完成交货安装调试后进行预验收，预验收合格后试运行三个月，运行稳定后进行正式验收，正式验收合格后付满合同金额的 60%；乙方报审结算，经甲方审计后支付至合同结算金额的97%。</w:t>
      </w:r>
    </w:p>
    <w:p w14:paraId="17CA360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p w14:paraId="42905D09">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14:paraId="458EE526">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14:paraId="10DB436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79486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625913A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3EFB37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651981E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3AAF3AA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14:paraId="189FAC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29E6341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49EE53E">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14:paraId="1F69A6B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14:paraId="1E01F76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7D25A1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14:paraId="281E83B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14:paraId="34D62F2E">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4"/>
    <w:bookmarkEnd w:id="5"/>
    <w:p w14:paraId="4287E380">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14:paraId="7B76EE3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58BF8E8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1EB6F1F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5086F1E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40D7163A">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55A6F01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19E2C97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50CE4AE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6BA5BD4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020C31D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55C383EE">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14:paraId="4178DC68">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kern w:val="2"/>
          <w:sz w:val="24"/>
          <w:szCs w:val="24"/>
          <w:highlight w:val="none"/>
          <w:u w:val="single"/>
          <w:lang w:val="en-US" w:eastAsia="zh-CN" w:bidi="ar-SA"/>
        </w:rPr>
        <w:t>2025</w:t>
      </w:r>
      <w:r>
        <w:rPr>
          <w:rFonts w:hint="eastAsia" w:ascii="宋体" w:hAnsi="宋体" w:eastAsia="宋体" w:cs="宋体"/>
          <w:color w:val="auto"/>
          <w:kern w:val="2"/>
          <w:sz w:val="24"/>
          <w:szCs w:val="24"/>
          <w:highlight w:val="none"/>
          <w:u w:val="none"/>
          <w:lang w:val="en-US" w:eastAsia="zh-CN" w:bidi="ar-SA"/>
        </w:rPr>
        <w:t>年</w:t>
      </w:r>
      <w:r>
        <w:rPr>
          <w:rFonts w:hint="eastAsia" w:ascii="宋体" w:hAnsi="宋体" w:eastAsia="宋体" w:cs="宋体"/>
          <w:color w:val="auto"/>
          <w:kern w:val="2"/>
          <w:sz w:val="24"/>
          <w:szCs w:val="24"/>
          <w:highlight w:val="none"/>
          <w:u w:val="single"/>
          <w:lang w:val="en-US" w:eastAsia="zh-CN" w:bidi="ar-SA"/>
        </w:rPr>
        <w:t xml:space="preserve"> 4 </w:t>
      </w:r>
      <w:r>
        <w:rPr>
          <w:rFonts w:hint="eastAsia" w:ascii="宋体" w:hAnsi="宋体" w:eastAsia="宋体" w:cs="宋体"/>
          <w:color w:val="auto"/>
          <w:kern w:val="2"/>
          <w:sz w:val="24"/>
          <w:szCs w:val="24"/>
          <w:highlight w:val="none"/>
          <w:u w:val="none"/>
          <w:lang w:val="en-US" w:eastAsia="zh-CN" w:bidi="ar-SA"/>
        </w:rPr>
        <w:t>月</w:t>
      </w:r>
      <w:r>
        <w:rPr>
          <w:rFonts w:hint="eastAsia" w:ascii="宋体" w:hAnsi="宋体" w:eastAsia="宋体" w:cs="宋体"/>
          <w:color w:val="auto"/>
          <w:kern w:val="2"/>
          <w:sz w:val="24"/>
          <w:szCs w:val="24"/>
          <w:highlight w:val="none"/>
          <w:u w:val="single"/>
          <w:lang w:val="en-US" w:eastAsia="zh-CN" w:bidi="ar-SA"/>
        </w:rPr>
        <w:t xml:space="preserve"> 7 </w:t>
      </w:r>
      <w:r>
        <w:rPr>
          <w:rFonts w:hint="eastAsia" w:ascii="宋体" w:hAnsi="宋体" w:eastAsia="宋体" w:cs="宋体"/>
          <w:color w:val="auto"/>
          <w:kern w:val="2"/>
          <w:sz w:val="24"/>
          <w:szCs w:val="24"/>
          <w:highlight w:val="none"/>
          <w:u w:val="none"/>
          <w:lang w:val="en-US" w:eastAsia="zh-CN" w:bidi="ar-SA"/>
        </w:rPr>
        <w:t>日</w:t>
      </w:r>
      <w:r>
        <w:rPr>
          <w:rFonts w:hint="eastAsia" w:ascii="宋体" w:hAnsi="宋体" w:eastAsia="宋体" w:cs="宋体"/>
          <w:color w:val="auto"/>
          <w:kern w:val="2"/>
          <w:sz w:val="24"/>
          <w:szCs w:val="24"/>
          <w:highlight w:val="none"/>
          <w:u w:val="single"/>
          <w:lang w:val="en-US" w:eastAsia="zh-CN" w:bidi="ar-SA"/>
        </w:rPr>
        <w:t xml:space="preserve"> 10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00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32D006CF">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6" w:name="_Toc300677995"/>
      <w:bookmarkStart w:id="7"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0457B981">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2E2ABE7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w:t>
      </w:r>
      <w:r>
        <w:rPr>
          <w:rFonts w:hint="eastAsia" w:ascii="宋体" w:hAnsi="宋体" w:eastAsia="宋体" w:cs="宋体"/>
          <w:bCs/>
          <w:color w:val="auto"/>
          <w:sz w:val="24"/>
          <w:szCs w:val="24"/>
          <w:highlight w:val="none"/>
        </w:rPr>
        <w:t>段：</w:t>
      </w:r>
      <w:r>
        <w:rPr>
          <w:rFonts w:hint="eastAsia" w:ascii="宋体" w:hAnsi="宋体" w:eastAsia="宋体" w:cs="宋体"/>
          <w:bCs/>
          <w:color w:val="auto"/>
          <w:sz w:val="24"/>
          <w:szCs w:val="24"/>
          <w:highlight w:val="none"/>
          <w:lang w:val="en-US" w:eastAsia="zh-CN"/>
        </w:rPr>
        <w:t>资格性审查</w:t>
      </w:r>
    </w:p>
    <w:p w14:paraId="7728EE5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5BEA198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5E0F248D">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0949305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0B49850A">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61A188C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1AB5CBF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147A9C7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5C8BF80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浏阳市文化旅游产业发展有限责任公司</w:t>
      </w:r>
    </w:p>
    <w:p w14:paraId="73EBECE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14:paraId="4C98D33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14:paraId="7FA931C4">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14:paraId="6C4F4CB6">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3BEFAF1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14:paraId="505DC6C5">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3DF98C3B">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6" w:h="16838"/>
          <w:pgMar w:top="1531" w:right="1531" w:bottom="1531" w:left="1531" w:header="851" w:footer="992" w:gutter="0"/>
          <w:cols w:space="720" w:num="1"/>
          <w:docGrid w:type="lines" w:linePitch="312" w:charSpace="0"/>
        </w:sectPr>
      </w:pPr>
    </w:p>
    <w:p w14:paraId="01DEAFF2">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浏阳市农村产权交易中心项目一农村产权交易中心办公多媒体采购项目</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1279"/>
        <w:gridCol w:w="8202"/>
        <w:gridCol w:w="666"/>
        <w:gridCol w:w="441"/>
        <w:gridCol w:w="869"/>
        <w:gridCol w:w="1033"/>
        <w:gridCol w:w="1061"/>
      </w:tblGrid>
      <w:tr w14:paraId="3F379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9C2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EEA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30C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84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52B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44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15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50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3E6A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43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4E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4F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1.点间距：≤1.86mm；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2.刷新率：刷新率≥3840Hz,支持通过配套软件调节刷新率的设置选项，支持刷新率1920Hz/3840Hz双模式；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3.亮度鉴别等级：依据SJ/T 11141-20175.10.6 规定；C级，Bj≥20；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3.换帧频率：50&amp;60Hz,支持120Hz等3D显 示技术；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4.灰度等级：依据SJ/T 11281第4.3.5条款进行试验，灰度等级应大于14bit；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5.平整度：C级，P≤0.05mm,支持6轴向精密微调，箱体间、模组间相对错位置≤0.1mm；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6.输入电压：输入电压采用AC100-240V～50/60Hz；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7.休眠模式功耗：显示屏黑屏不点亮时，功耗 ≤45W/m²；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8.安全标记：保护接地端子应有标记。进行标记耐久性试验后，标记应牢固、清晰可辨；在熔断器和开关电源处应有警告标志。进行标记耐久性试验后，标记应牢固、清晰可辨；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9.温升均匀性：按GB 4943.1规定进行，LED显示屏在满LED负荷工作24小时后、显示屏正常使用时在达到热平衡后，整屏温度均匀，整体温升应不超过20K, 绝缘材料温升应不超过30K；</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10.静电放电抗扰：依据GB/T 9254.2-2021信息技术设备、多媒体设备和接收机电磁兼容第2部分：抗扰度要求；标准要求：接触放电±4kV,空气放电±8kV应符合标准要求；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高低温极限：样机通电状态，环境温度从-5℃开始以-5℃/min的速度步进递减进行测试，每个温度段保持时间2H,低温极限摸底至-30℃,要求期间外观、显示正常，结构完好。环境温度从45℃开始以5℃/min速度的步进递增进行测试，每个温度段保持时间2H高温极限摸底到60℃,期间要求外观、显示正常，结构完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12.湿度测试：进行湿度环境使用测试，在湿度10%、30%、50%、75%、95%条件下，分别稳定工作2H小时，共2次循环，测试完成后，样机正常显示，无缺陷；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13.跌落测试：按GB/T 2423.7-2018,样品处于自由状态跌落，检测面跌落、角跌落。倾跌与翻倒、自由跌落、弹跳跌落；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14.振动测试：按GB/T 2423.10-2019,样品处 于不工作状态，频率范围5Hz~ 55Hz,振幅位移0.19mm,扫频速度5min/循环，振动轴向X/Y/Z轴向，扫频循环次数2次每轴向；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15.亮度调整：白屏亮度≥900cd/m²,具有 随环境照度的变化而自动亮 度调整的功能，支持256级 手动、自动、程控调节(0- 100%可调),且亮度调至30%及以下，不出现明显的灰度损失现象；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16.可视角度：水平视角≥178°，垂直视角≥178°；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E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12.29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3D0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14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83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58992.00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E5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交易大厅(拍卖室 B面)</w:t>
            </w:r>
          </w:p>
        </w:tc>
      </w:tr>
      <w:tr w14:paraId="56E6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2DC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DB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38F4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1)单机具有 6 个网口，单网口带载 65 万像素，整机最大带载 390 万像素，宽度可达到 8000点，高度可达到 4000 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2)支持多种数字信号接口,包括 2 路 HDMI1.3 和 2 路 DVI-D 输入源。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支持 3 画面显示，画面位置任意布局。</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 支持信号源热备份。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EDID 配置管理：支持 EDID（Extended Display Identification Data，扩展显示识别数据）的读取、修改、自定义。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6)支持一键黑屏/静止功能。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 去黑边/剪裁功能：解决前端信号产生的黑边问题，针对任意信号源做任意裁剪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8)支持按键锁定，防止误操作。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 可实时、快捷地对整体输出画面显示亮度、对比度进行调整。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 HDR 功能，支持 SDR 转 HDR 图像优化技术，可以提升普通 SDR 视频的对比度、增强图像细节表现，让普通视频具备 HDR 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E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6D3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DA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4511.28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B2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4511.28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844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076A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4FD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21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6C5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1)单卡 12 个标准接口，输出 24 组 RGB 数据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2)支持高灰高刷、低亮高灰显示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3)细节处理更完美，可消除某行偏暗、低灰偏红、鬼影等细节问题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 支持亮度、色度逐点校正，提供校正低灰补偿，保障低灰显示效果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 支持各种 PWM 芯片、逐点检测芯片及通用芯片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6)支持一键回读所有配置文件信息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7)支持一键修复功能，换卡无忧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8)支持网络通信状态的实时检测，及网线连接顺序的检测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A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39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53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4C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2850.00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72E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F1F5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D1E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A200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4A4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8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4B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E26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4C8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A1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7B69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FE1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D5B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p1.8备用板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E35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备品模组2张，电源1台 接收卡1张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F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6B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36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9D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4D1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085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497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F8C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755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10kwLED显示屏专用配电柜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9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151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D8F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64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523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061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4D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BE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6C3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磁柱，短网线，电源线,5线，长排线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52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12.29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39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AED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D8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1474.80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F35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4A85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1F7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BA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国标钢材，含不锈钢包边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9D1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根据项目需求选择，钢架结构，包边装饰，根据现场环境需求制作，全彩屏正面包边≤10CM，采用至少4MM的材质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3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12.29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A124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9F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C9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4301.50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6B7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F70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A8A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19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布线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EDF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综合工程布线：按现场需求定制，长网线6根，长电源线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3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37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D3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4A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10E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BCEC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156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08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音响系统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A72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60W+200W+功放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F7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87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7F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EC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B08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CCA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0CA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1E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0A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1.点间距：≤1.86mm；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2.刷新率：刷新率≥3840Hz,支持通过配套软件调节刷新率的设置选项，支持刷新率1920Hz/3840Hz双模式；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3.亮度鉴别等级：依据SJ/T 11141-20175.10.6 规定；C级，Bj≥20；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3.换帧频率：50&amp;60Hz,支持120Hz等3D显 示技术；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4.灰度等级：依据SJ/T 11281第4.3.5条款进行试验，灰度等级应大于14bit；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5.平整度：C级，P≤0.05mm,支持6轴向精密微调，箱体间、模组间相对错位置≤0.1mm；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6.输入电压：输入电压采用AC100-240V～50/60Hz；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7.休眠模式功耗：显示屏黑屏不点亮时，功耗 ≤45W/m²；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8.安全标记：保护接地端子应有标记。进行标记耐久性试验后，标记应牢固、清晰可辨；在熔断器和开关电源处应有警告标志。进行标记耐久性试验后，标记应牢固、清晰可辨；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9.温升均匀性：按GB 4943.1规定进行，LED显示屏在满LED负荷工作24小时后、显示屏正常使用时在达到热平衡后，整屏温度均匀，整体温升应不超过20K, 绝缘材料温升应不超过30K；</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10.静电放电抗扰：依据GB/T 9254.2-2021信息技术设备、多媒体设备和接收机电磁兼容第2部分：抗扰度要求；标准要求：接触放电±4kV,空气放电±8kV应符合标准要求；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高低温极限：样机通电状态，环境温度从-5℃开始以-5℃/min的速度步进递减进行测试，每个温度段保持时间2H,低温极限摸底至-30℃,要求期间外观、显示正常，结构完好。环境温度从45℃开始以5℃/min速度的步进递增进行测试，每个温度段保持时间2H高温极限摸底到60℃,期间要求外观、显示正常，结构完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12.湿度测试：进行湿度环境使用测试，在湿度10%、30%、50%、75%、95%条件下，分别稳定工作2H小时，共2次循环，测试完成后，样机正常显示，无缺陷；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13.跌落测试：按GB/T 2423.7-2018,样品处于自由状态跌落，检测面跌落、角跌落。倾跌与翻倒、自由跌落、弹跳跌落；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14.振动测试：按GB/T 2423.10-2019,样品处 于不工作状态，频率范围5Hz~ 55Hz,振幅位移0.19mm,扫频速度5min/循环，振动轴向X/Y/Z轴向，扫频循环次数2次每轴向；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15.亮度调整：白屏亮度≥900cd/m²,具有 随环境照度的变化而自动亮 度调整的功能，支持256级 手动、自动、程控调节(0- 100%可调),且亮度调至30%及以下，不出现明显的灰度损失现象；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16.可视角度：水平视角≥178°，垂直视角≥178°；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5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6.76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BD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AC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90C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rPr>
              <w:t>32448</w:t>
            </w:r>
            <w:r>
              <w:rPr>
                <w:rFonts w:hint="eastAsia" w:ascii="宋体" w:hAnsi="宋体" w:eastAsia="宋体" w:cs="宋体"/>
                <w:i w:val="0"/>
                <w:iCs w:val="0"/>
                <w:color w:val="auto"/>
                <w:sz w:val="18"/>
                <w:szCs w:val="18"/>
                <w:highlight w:val="none"/>
                <w:u w:val="none"/>
                <w:lang w:val="en-US" w:eastAsia="zh-CN"/>
              </w:rPr>
              <w:t>.00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33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会议室（会议室B面）</w:t>
            </w:r>
          </w:p>
        </w:tc>
      </w:tr>
      <w:tr w14:paraId="1579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A3C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D94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A05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1单机具有 4 个网口，整机最大带载 250 万像素，宽度可达到 4000 点，高度可达到 1200点。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2)支持多种数字信号接口，包括1路HDMI1.3、1路DVI-D、1路VGA和1路USB。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3)支持无电脑直接操作，3步点屏。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4)支持USB播放，完美支持多种视频、图片格式。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5)EDID配置管理：支持EDID（Extended Display Identification Data，扩展显示识别数据）的读取、修改、自定义。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6)支持一键黑屏功能。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7)支持画面的静止或活动功能。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8)去黑边/剪裁功能：解决前端信号产生的黑边问题，针对任意信号源做任意裁剪（依旧保持满屏状态）。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9)支持按键锁定，防止误操作。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10)可实时、快捷地对整体输出画面显示亮度、对比度进行调整。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4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B27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39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3007.52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CD4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3007.52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7D8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7E4D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9CE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A0E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30A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1)单卡 16 个标准接口，输出 32 组 RGB 数据。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2)支持多种通用芯片、PWM 芯片、双锁存芯片。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3)独有的任意倍频技术，手机拍摄无扫描线。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4)独有的色彩变换技术，使人脸肤色更真实。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5)支持高灰，高刷，低亮度高灰度显示。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6)细节处理完美，可消除某行偏暗、低灰偏红、鬼影等问题。</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7)支持亮度、色度逐点校正，提供校正低灰补偿，保障低灰效果。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8)支持一键读回配置文件信息功能。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9)支持一键修复功能，换卡无忧。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10)支持网络通信状态实时检测及网线连接顺序的检测。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11)支持任意抽点，轻松设置各种异型屏。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12)程序写保护，升级断电无忧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D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24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FB5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00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1140.00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1AB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90F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EBE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593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63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E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CD7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649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CE4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349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E32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E4C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421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p1.8备用板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86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备品模组1张，电源1台 接收卡1张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8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F2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F5E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E3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1DD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9C6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437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DB6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388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10kwLED显示屏专用配电柜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F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6A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A0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4A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93C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7EA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FA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9DE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C9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磁柱，短网线，电源线,5线，长排线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C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6.76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D3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37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2C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811.20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2C2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7F88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C3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CC9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国标钢材，含不锈钢包边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94F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根据项目需求选择，钢架结构，包边装饰，根据现场环境需求制作，全彩屏正面包边≤10CM，采用至少4MM的材质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7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6.76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F2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18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7B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2366.00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072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6B0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E9F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6934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AB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综合工程布线：按现场需求定制，长网线6根，长电源线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1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B3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42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86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8EE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79B80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9CC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4E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音响系统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F95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60W+200W功放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06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00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DE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799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5D4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3950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01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F5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679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1.点间距：≤1.86mm；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2.刷新率：刷新率≥3840Hz,支持通过配套软件调节刷新率的设置选项，支持刷新率1920Hz/3840Hz双模式；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3.亮度鉴别等级：依据SJ/T 11141-20175.10.6 规定；C级，Bj≥20；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3.换帧频率：50&amp;60Hz,支持120Hz等3D显 示技术；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4.灰度等级：依据SJ/T 11281第4.3.5条款进行试验，灰度等级应大于14bit；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5.平整度：C级，P≤0.05mm,支持6轴向精密微调，箱体间、模组间相对错位置≤0.1mm；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6.输入电压：输入电压采用AC100-240V～50/60Hz；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7.休眠模式功耗：显示屏黑屏不点亮时，功耗 ≤45W/m²；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8.安全标记：保护接地端子应有标记。进行标记耐久性试验后，标记应牢固、清晰可辨；在熔断器和开关电源处应有警告标志。进行标记耐久性试验后，标记应牢固、清晰可辨；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9.温升均匀性：按GB 4943.1规定进行，LED显示屏在满LED负荷工作24小时后、显示屏正常使用时在达到热平衡后，整屏温度均匀，整体温升应不超过20K, 绝缘材料温升应不超过30K；</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10.静电放电抗扰：依据GB/T 9254.2-2021信息技术设备、多媒体设备和接收机电磁兼容第2部分：抗扰度要求；标准要求：接触放电±4kV,空气放电±8kV应符合标准要求；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高低温极限：样机通电状态，环境温度从-5℃开始以-5℃/min的速度步进递减进行测试，每个温度段保持时间2H,低温极限摸底至-30℃,要求期间外观、显示正常，结构完好。环境温度从45℃开始以5℃/min速度的步进递增进行测试，每个温度段保持时间2H高温极限摸底到60℃,期间要求外观、显示正常，结构完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12.湿度测试：进行湿度环境使用测试，在湿度10%、30%、50%、75%、95%条件下，分别稳定工作2H小时，共2次循环，测试完成后，样机正常显示，无缺陷；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13.跌落测试：按GB/T 2423.7-2018,样品处于自由状态跌落，检测面跌落、角跌落。倾跌与翻倒、自由跌落、弹跳跌落；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14.振动测试：按GB/T 2423.10-2019,样品处 于不工作状态，频率范围5Hz~ 55Hz,振幅位移0.19mm,扫频速度5min/循环，振动轴向X/Y/Z轴向，扫频循环次数2次每轴向；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15.亮度调整：白屏亮度≥900cd/m²,具有 随环境照度的变化而自动亮 度调整的功能，支持256级 手动、自动、程控调节(0- 100%可调),且亮度调至30%及以下，不出现明显的灰度损失现象；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16.可视角度：水平视角≥178°，垂直视角≥178°；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7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FE4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43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C0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41280.00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8F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会议室门外（大厅B面）</w:t>
            </w:r>
          </w:p>
        </w:tc>
      </w:tr>
      <w:tr w14:paraId="2557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8A7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A13A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F19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1单机具有 4 个网口，整机最大带载 250 万像素，宽度可达到 4000 点，高度可达到 1200点。</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2)支持多种数字信号接口，包括1路HDMI1.3、1路DVI-D、1路VGA和1路USB。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3)支持无电脑直接操作，3步点屏。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4)支持USB播放，完美支持多种视频、图片格式。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5)EDID配置管理：支持EDID（Extended Display Identification Data，扩展显示识别数据）的读取、修改、自定义。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6)支持一键黑屏功能。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7)支持画面的静止或活动功能。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8)去黑边/剪裁功能：解决前端信号产生的黑边问题，针对任意信号源做任意裁剪（依旧保持满屏状态）。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9)支持按键锁定，防止误操作。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10)可实时、快捷地对整体输出画面显示亮度、对比度进行调整。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D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16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D3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3007.52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5A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3007.52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6BA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71D1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DB2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0C9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5E64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1)单卡 16 个标准接口，输出 32 组 RGB 数据。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2)支持多种通用芯片、PWM 芯片、双锁存芯片。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3)独有的任意倍频技术，手机拍摄无扫描线。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4)独有的色彩变换技术，使人脸肤色更真实。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5)支持高灰，高刷，低亮度高灰度显示。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6)细节处理完美，可消除某行偏暗、低灰偏红、鬼影等问题。</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7)支持亮度、色度逐点校正，提供校正低灰补偿，保障低灰效果。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8)支持一键读回配置文件信息功能。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9)支持一键修复功能，换卡无忧。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10)支持网络通信状态实时检测及网线连接顺序的检测。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11)支持任意抽点，轻松设置各种异型屏。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12)程序写保护，升级断电无忧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0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B5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60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33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1140.00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B2C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07B2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C5B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1D8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32DE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44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46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8D0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2B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0D0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B544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594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2C2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p1.8备用板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239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备品模组1张，电源1台 接收卡1张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A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1E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4E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1D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2D7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635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211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746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0BE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10kwLED显示屏专用配电柜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A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648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25F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F1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36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FA4D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2EF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B66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882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磁柱，短网线，电源线,5线，长排线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84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A1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4E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8D6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1032.00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C1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78B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A59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F9B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国标钢材，含不锈钢包边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61F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根据项目需求选择，钢架结构，包边装饰，根据现场环境需求制作，全彩屏正面包边≤10CM，采用至少4MM的材质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D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CB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81E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9C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3010.00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C18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4CC4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F13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C53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1A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综合工程布线：按现场需求定制，长网线6根，长电源线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7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73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96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33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B3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7E1B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D91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84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音响系统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922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60W+200W功放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6F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44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99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25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55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369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7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B6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单红3.75单元板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25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产品规格：Ф3.75mm，点中心距：4.8mm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象素密度：44200，单元板尺寸：304×152 381×152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显示分辨率：64×32 80×32，显示基色：双基色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象素组成：1红，显示颜色：65536色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等级灰度：256级，可视角度：120°，可视距离：4-12m，最大功率：500W/m2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0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4.61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17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37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63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4702.20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BB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单色3.75（大厅A面）</w:t>
            </w:r>
          </w:p>
        </w:tc>
      </w:tr>
      <w:tr w14:paraId="3A271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98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B25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E88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1)单卡 16 个标准接口，输出 32 组 RGB 数据。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2)支持多种通用芯片、PWM 芯片、双锁存芯片。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3)独有的任意倍频技术，手机拍摄无扫描线。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4)独有的色彩变换技术，使人脸肤色更真实。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5)支持高灰，高刷，低亮度高灰度显示。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6)细节处理完美，可消除某行偏暗、低灰偏红、鬼影等问题。</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7)支持亮度、色度逐点校正，提供校正低灰补偿，保障低灰效果。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8)支持一键读回配置文件信息功能。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9)支持一键修复功能，换卡无忧。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10)支持网络通信状态实时检测及网线连接顺序的检测。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11)支持任意抽点，轻松设置各种异型屏。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12)程序写保护，升级断电无忧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A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57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75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1F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067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AF25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8D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431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141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3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B2D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A1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71A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720.00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D02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1BB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08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000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42F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磁柱，电源线,5线，长排线，角码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3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4.61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DA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BEB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BFA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461.00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D40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A69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0C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D9A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边框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D71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4590边框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5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19.24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EDB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2D3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CB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577.20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79A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BC8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CA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E4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单红3.75单元板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7D0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产品规格：Ф3.75mm，点中心距：4.8mm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象素密度：44200，单元板尺寸：304×152 381×152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显示分辨率：64×32 80×32，显示基色：双基色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象素组成：1红，显示颜色：65536色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等级灰度：256级，可视角度：120°，可视距离：4-12m，最大功率：500W/m2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7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06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DBB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EF9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2346.00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D4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单色3.75（会议室）徽标屏</w:t>
            </w:r>
          </w:p>
        </w:tc>
      </w:tr>
      <w:tr w14:paraId="77B2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807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8733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893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1)单卡 16 个标准接口，输出 32 组 RGB 数据。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2)支持多种通用芯片、PWM 芯片、双锁存芯片。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3)独有的任意倍频技术，手机拍摄无扫描线。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4)独有的色彩变换技术，使人脸肤色更真实。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5)支持高灰，高刷，低亮度高灰度显示。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6)细节处理完美，可消除某行偏暗、低灰偏红、鬼影等问题。</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7)支持亮度、色度逐点校正，提供校正低灰补偿，保障低灰效果。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8)支持一键读回配置文件信息功能。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9)支持一键修复功能，换卡无忧。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10)支持网络通信状态实时检测及网线连接顺序的检测。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11)支持任意抽点，轻松设置各种异型屏。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12)程序写保护，升级断电无忧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B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71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34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48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7C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7EA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7A4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254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362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3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DFB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7B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25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360.00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AC8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1B5F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B25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EA8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563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磁柱，电源线,5线，长排线，角码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C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F6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6EB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EBD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3C6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BFB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B38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458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边框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06D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4590边框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1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9.20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7F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00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70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276.00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53F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0E3C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80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5313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P1.5单元板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E9A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1.点间距：≤1.5mm；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2.刷新率：刷新率≥3840Hz,支持通过配套软件调节刷新率的设置选项，支持刷新率1920Hz/3840Hz双模式；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3.亮度鉴别等级：依据SJ/T 11141-20175.10.6 规定；C级，Bj≥20；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3.换帧频率：50&amp;60Hz,支持120Hz等3D显 示技术；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4.灰度等级：依据SJ/T 11281第4.3.5条款进行试验，灰度等级应大于14bit；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5.平整度：C级，P≤0.05mm,支持6轴向精密微调，箱体间、模组间相对错位置≤0.1mm；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6.输入电压：输入电压采用AC100-240V～50/60Hz；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7.休眠模式功耗：显示屏黑屏不点亮时，功耗 ≤45W/m²；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8.安全标记：保护接地端子应有标记。进行标记耐久性试验后，标记应牢固、清晰可辨；在熔断器和开关电源处应有警告标志。进行标记耐久性试验后，标记应牢固、清晰可辨；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9.温升均匀性：按GB 4943.1规定进行，LED显示屏在满LED负荷工作24小时后、显示屏正常使用时在达到热平衡后，整屏温度均匀，整体温升应不超过20K, 绝缘材料温升应不超过30K；</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10.静电放电抗扰：依据GB/T 9254.2-2021信息技术设备、多媒体设备和接收机电磁兼容第2部分：抗扰度要求；标准要求：接触放电±4kV,空气放电±8kV应符合标准要求；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高低温极限：样机通电状态，环境温度从-5℃开始以-5℃/min的速度步进递减进行测试，每个温度段保持时间2H,低温极限摸底至-30℃,要求期间外观、显示正常，结构完好。环境温度从45℃开始以5℃/min速度的步进递增进行测试，每个温度段保持时间2H高温极限摸底到60℃,期间要求外观、显示正常，结构完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12.湿度测试：进行湿度环境使用测试，在湿度10%、30%、50%、75%、95%条件下，分别稳定工作2H小时，共2次循环，测试完成后，样机正常显示，无缺陷；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13.跌落测试：按GB/T 2423.7-2018,样品处于自由状态跌落，检测面跌落、角跌落。倾跌与翻倒、自由跌落、弹跳跌落；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14.振动测试：按GB/T 2423.10-2019,样品处 于不工作状态，频率范围5Hz~ 55Hz,振幅位移0.19mm,扫频速度5min/循环，振动轴向X/Y/Z轴向，扫频循环次数2次每轴向；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15.亮度调整：白屏亮度≥900cd/m²,具有 随环境照度的变化而自动亮 度调整的功能，支持256级 手动、自动、程控调节(0- 100%可调),且亮度调至30%及以下，不出现明显的灰度损失现象；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16.可视角度：水平视角≥178°，垂直视角≥178°；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5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38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48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5150.00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46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12669.00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F6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大厅A立面广告屏（展示区）</w:t>
            </w:r>
          </w:p>
        </w:tc>
      </w:tr>
      <w:tr w14:paraId="5771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8E0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4F1C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53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单网口带载，最大支持65万，</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最宽3840，最高2000，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8G内存，支持U盘扩容，支持双WiFi,HDMI输入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06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38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28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59C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1760.00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197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9B3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D2E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BDB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E84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1)单卡 12 个标准接口，输出 24 组 RGB 数据。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2)支持多种通用芯片、PWM 芯片、双锁存芯片。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3)独有的任意倍频技术，手机拍摄无扫描线。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4)独有的色彩变换技术，使人脸肤色更真实。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5)支持高灰，高刷，低亮度高灰度显示。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6)细节处理完美，可消除某行偏暗、低灰偏红、鬼影等问题。</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7)支持亮度、色度逐点校正，提供校正低灰补偿，保障低灰效果。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8)支持一键读回配置文件信息功能。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9)支持一键修复功能，换卡无忧。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10)支持网络通信状态实时检测及网线连接顺序的检测。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11)支持任意抽点，轻松设置各种异型屏。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12)程序写保护，升级断电无忧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6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B09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EFB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A3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570.00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C97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0D1C4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AFF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7C6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LED电源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F33F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流电压：4.5~5V，电流范围：0~40A，最大峰值功率：180W，纹波与噪声15mVp-p,线性调整率：±0.5%，负载调整率：±2.0%，电压输入范围：90~264VAC，频率范围：47~63Hz，效率：＞89%，保护过负载：额定输出功率的113%~135%，负载异常条件移除后自动恢复，保护过电压：异常条件移除后自动恢复，工作温度：-40~+60℃，储存温度：-40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4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050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8B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298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434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EBA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521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576E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p1.5备用板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67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备品模组1张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4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849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97C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C96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6C2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D5F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06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D57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3A5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磁柱，短网线，电源线,5线，长排线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CE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CF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97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20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295.20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40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640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43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BF1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国标钢材，含不锈钢包边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32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根据项目需求选择，钢架结构，包边装饰，根据现场环境需求制作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全彩屏正面包边≤10CM，采用至少4MM的材质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7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54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FE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725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861.00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7C0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46D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D4F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C7A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6D8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综合工程布线：按现场需求定制，长网线1根，长电源线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C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EE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CC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9B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6E1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3E0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5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7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C5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CPU12代I3/8G/512固态/24寸显示器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0A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33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87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2680.00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5B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2680.00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6D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电脑与复印机</w:t>
            </w:r>
          </w:p>
        </w:tc>
      </w:tr>
      <w:tr w14:paraId="2F5B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29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3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528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CPU12代I5/16G/512固态/独立显卡/27寸显示器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A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F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6B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4260.00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71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4260.00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514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0040B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E9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BD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9D9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CPU12代I5/16G/512固态/独立显卡/24寸显示器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4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7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0A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178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11640.00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870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6A4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A2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27A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A3双面网络打印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792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机器参数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速度:22 页/分钟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内存容量:256MB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分辨率:600*600dpi</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复印尺寸:A3</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预热时间:≤15秒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首页输出时间:≤7秒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连续复印页数:1-999张</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缩放范围:50-400%(以1%为增量)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屏幕:五行数字显示屏+数字按键面板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纸盒容量:250页纸盒+100页多功能手送托盘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C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6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7A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95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22E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347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98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A79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F35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400万POE400W全彩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54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06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C5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2F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3850.00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4C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监控与无线覆盖清单</w:t>
            </w:r>
          </w:p>
        </w:tc>
      </w:tr>
      <w:tr w14:paraId="2B72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885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A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录像机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333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16路2盘位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9A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6F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E81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463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B4D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8B0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9F2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F9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存储硬盘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4C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监控专用12T（保存时间3个月）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78A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37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08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76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385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56BD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B5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1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E83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室外枪机专用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A7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FB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C1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53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227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66C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A9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3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838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16个千兆接口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DC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AB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3A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1110.33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8C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1110.33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A72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3BD70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9E9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066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62D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12u</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AA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AE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26F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365.00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1D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365.00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DD9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5D7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245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C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监视器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5B2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EE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0E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E5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FD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620.00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3A3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732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4E1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7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729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PVC/20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EC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39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0D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61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DD4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3EA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47E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3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PDU</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8B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18位防雷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52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E89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DB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72.00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C6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144.00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25E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0C95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813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B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305米/箱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FDF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电信级网络线0.57芯超六类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C0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64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2A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690.00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6F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1380.00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757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1D4D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14D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5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理线架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F94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超6类理线架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230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42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6C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42.50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37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85.00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A27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89F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A81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1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D98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EAP-102E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2C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16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99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285.00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986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1710.00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998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40E4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A45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0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路由器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19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RG-210-G-P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E5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5A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B1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897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C6D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6FD6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8DE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0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DC6ED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C3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EB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95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70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1B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r>
      <w:tr w14:paraId="2972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5AF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auto"/>
                <w:sz w:val="18"/>
                <w:szCs w:val="18"/>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0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2C4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B7C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auto"/>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21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3" name="Picture_1"/>
                  <wp:cNvGraphicFramePr/>
                  <a:graphic xmlns:a="http://schemas.openxmlformats.org/drawingml/2006/main">
                    <a:graphicData uri="http://schemas.openxmlformats.org/drawingml/2006/picture">
                      <pic:pic xmlns:pic="http://schemas.openxmlformats.org/drawingml/2006/picture">
                        <pic:nvPicPr>
                          <pic:cNvPr id="23" name="Picture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6" name="Picture_3"/>
                  <wp:cNvGraphicFramePr/>
                  <a:graphic xmlns:a="http://schemas.openxmlformats.org/drawingml/2006/main">
                    <a:graphicData uri="http://schemas.openxmlformats.org/drawingml/2006/picture">
                      <pic:pic xmlns:pic="http://schemas.openxmlformats.org/drawingml/2006/picture">
                        <pic:nvPicPr>
                          <pic:cNvPr id="26" name="Picture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7" name="Picture_7"/>
                  <wp:cNvGraphicFramePr/>
                  <a:graphic xmlns:a="http://schemas.openxmlformats.org/drawingml/2006/main">
                    <a:graphicData uri="http://schemas.openxmlformats.org/drawingml/2006/picture">
                      <pic:pic xmlns:pic="http://schemas.openxmlformats.org/drawingml/2006/picture">
                        <pic:nvPicPr>
                          <pic:cNvPr id="27" name="Picture_7"/>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8" name="Picture_1_SpCnt_1"/>
                  <wp:cNvGraphicFramePr/>
                  <a:graphic xmlns:a="http://schemas.openxmlformats.org/drawingml/2006/main">
                    <a:graphicData uri="http://schemas.openxmlformats.org/drawingml/2006/picture">
                      <pic:pic xmlns:pic="http://schemas.openxmlformats.org/drawingml/2006/picture">
                        <pic:nvPicPr>
                          <pic:cNvPr id="28" name="Picture_1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4" name="Picture_3_SpCnt_1"/>
                  <wp:cNvGraphicFramePr/>
                  <a:graphic xmlns:a="http://schemas.openxmlformats.org/drawingml/2006/main">
                    <a:graphicData uri="http://schemas.openxmlformats.org/drawingml/2006/picture">
                      <pic:pic xmlns:pic="http://schemas.openxmlformats.org/drawingml/2006/picture">
                        <pic:nvPicPr>
                          <pic:cNvPr id="24" name="Picture_3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5" name="Picture_7_SpCnt_1"/>
                  <wp:cNvGraphicFramePr/>
                  <a:graphic xmlns:a="http://schemas.openxmlformats.org/drawingml/2006/main">
                    <a:graphicData uri="http://schemas.openxmlformats.org/drawingml/2006/picture">
                      <pic:pic xmlns:pic="http://schemas.openxmlformats.org/drawingml/2006/picture">
                        <pic:nvPicPr>
                          <pic:cNvPr id="25" name="Picture_7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9" name="Picture_14"/>
                  <wp:cNvGraphicFramePr/>
                  <a:graphic xmlns:a="http://schemas.openxmlformats.org/drawingml/2006/main">
                    <a:graphicData uri="http://schemas.openxmlformats.org/drawingml/2006/picture">
                      <pic:pic xmlns:pic="http://schemas.openxmlformats.org/drawingml/2006/picture">
                        <pic:nvPicPr>
                          <pic:cNvPr id="9" name="Picture_1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6" name="Picture_13"/>
                  <wp:cNvGraphicFramePr/>
                  <a:graphic xmlns:a="http://schemas.openxmlformats.org/drawingml/2006/main">
                    <a:graphicData uri="http://schemas.openxmlformats.org/drawingml/2006/picture">
                      <pic:pic xmlns:pic="http://schemas.openxmlformats.org/drawingml/2006/picture">
                        <pic:nvPicPr>
                          <pic:cNvPr id="16" name="Picture_1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0" name="Picture_12"/>
                  <wp:cNvGraphicFramePr/>
                  <a:graphic xmlns:a="http://schemas.openxmlformats.org/drawingml/2006/main">
                    <a:graphicData uri="http://schemas.openxmlformats.org/drawingml/2006/picture">
                      <pic:pic xmlns:pic="http://schemas.openxmlformats.org/drawingml/2006/picture">
                        <pic:nvPicPr>
                          <pic:cNvPr id="20" name="Picture_1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2" name="Picture_11"/>
                  <wp:cNvGraphicFramePr/>
                  <a:graphic xmlns:a="http://schemas.openxmlformats.org/drawingml/2006/main">
                    <a:graphicData uri="http://schemas.openxmlformats.org/drawingml/2006/picture">
                      <pic:pic xmlns:pic="http://schemas.openxmlformats.org/drawingml/2006/picture">
                        <pic:nvPicPr>
                          <pic:cNvPr id="22" name="Picture_1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1" name="Picture_10"/>
                  <wp:cNvGraphicFramePr/>
                  <a:graphic xmlns:a="http://schemas.openxmlformats.org/drawingml/2006/main">
                    <a:graphicData uri="http://schemas.openxmlformats.org/drawingml/2006/picture">
                      <pic:pic xmlns:pic="http://schemas.openxmlformats.org/drawingml/2006/picture">
                        <pic:nvPicPr>
                          <pic:cNvPr id="21" name="Picture_10"/>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8" name="Picture_9"/>
                  <wp:cNvGraphicFramePr/>
                  <a:graphic xmlns:a="http://schemas.openxmlformats.org/drawingml/2006/main">
                    <a:graphicData uri="http://schemas.openxmlformats.org/drawingml/2006/picture">
                      <pic:pic xmlns:pic="http://schemas.openxmlformats.org/drawingml/2006/picture">
                        <pic:nvPicPr>
                          <pic:cNvPr id="18" name="Picture_9"/>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9" name="Picture_8"/>
                  <wp:cNvGraphicFramePr/>
                  <a:graphic xmlns:a="http://schemas.openxmlformats.org/drawingml/2006/main">
                    <a:graphicData uri="http://schemas.openxmlformats.org/drawingml/2006/picture">
                      <pic:pic xmlns:pic="http://schemas.openxmlformats.org/drawingml/2006/picture">
                        <pic:nvPicPr>
                          <pic:cNvPr id="19" name="Picture_8"/>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7" name="Picture_7_SpCnt_2"/>
                  <wp:cNvGraphicFramePr/>
                  <a:graphic xmlns:a="http://schemas.openxmlformats.org/drawingml/2006/main">
                    <a:graphicData uri="http://schemas.openxmlformats.org/drawingml/2006/picture">
                      <pic:pic xmlns:pic="http://schemas.openxmlformats.org/drawingml/2006/picture">
                        <pic:nvPicPr>
                          <pic:cNvPr id="17" name="Picture_7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3" name="Picture_6"/>
                  <wp:cNvGraphicFramePr/>
                  <a:graphic xmlns:a="http://schemas.openxmlformats.org/drawingml/2006/main">
                    <a:graphicData uri="http://schemas.openxmlformats.org/drawingml/2006/picture">
                      <pic:pic xmlns:pic="http://schemas.openxmlformats.org/drawingml/2006/picture">
                        <pic:nvPicPr>
                          <pic:cNvPr id="13" name="Picture_6"/>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5" name="Picture_5"/>
                  <wp:cNvGraphicFramePr/>
                  <a:graphic xmlns:a="http://schemas.openxmlformats.org/drawingml/2006/main">
                    <a:graphicData uri="http://schemas.openxmlformats.org/drawingml/2006/picture">
                      <pic:pic xmlns:pic="http://schemas.openxmlformats.org/drawingml/2006/picture">
                        <pic:nvPicPr>
                          <pic:cNvPr id="15" name="Picture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4" name="Picture_4"/>
                  <wp:cNvGraphicFramePr/>
                  <a:graphic xmlns:a="http://schemas.openxmlformats.org/drawingml/2006/main">
                    <a:graphicData uri="http://schemas.openxmlformats.org/drawingml/2006/picture">
                      <pic:pic xmlns:pic="http://schemas.openxmlformats.org/drawingml/2006/picture">
                        <pic:nvPicPr>
                          <pic:cNvPr id="14" name="Picture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1" name="Picture_3_SpCnt_2"/>
                  <wp:cNvGraphicFramePr/>
                  <a:graphic xmlns:a="http://schemas.openxmlformats.org/drawingml/2006/main">
                    <a:graphicData uri="http://schemas.openxmlformats.org/drawingml/2006/picture">
                      <pic:pic xmlns:pic="http://schemas.openxmlformats.org/drawingml/2006/picture">
                        <pic:nvPicPr>
                          <pic:cNvPr id="11" name="Picture_3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2" name="Picture_2"/>
                  <wp:cNvGraphicFramePr/>
                  <a:graphic xmlns:a="http://schemas.openxmlformats.org/drawingml/2006/main">
                    <a:graphicData uri="http://schemas.openxmlformats.org/drawingml/2006/picture">
                      <pic:pic xmlns:pic="http://schemas.openxmlformats.org/drawingml/2006/picture">
                        <pic:nvPicPr>
                          <pic:cNvPr id="12" name="Picture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10" name="Picture_1_SpCnt_2"/>
                  <wp:cNvGraphicFramePr/>
                  <a:graphic xmlns:a="http://schemas.openxmlformats.org/drawingml/2006/main">
                    <a:graphicData uri="http://schemas.openxmlformats.org/drawingml/2006/picture">
                      <pic:pic xmlns:pic="http://schemas.openxmlformats.org/drawingml/2006/picture">
                        <pic:nvPicPr>
                          <pic:cNvPr id="10" name="Picture_1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 name="Picture_14_SpCnt_1"/>
                  <wp:cNvGraphicFramePr/>
                  <a:graphic xmlns:a="http://schemas.openxmlformats.org/drawingml/2006/main">
                    <a:graphicData uri="http://schemas.openxmlformats.org/drawingml/2006/picture">
                      <pic:pic xmlns:pic="http://schemas.openxmlformats.org/drawingml/2006/picture">
                        <pic:nvPicPr>
                          <pic:cNvPr id="7" name="Picture_14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 name="Picture_13_SpCnt_1"/>
                  <wp:cNvGraphicFramePr/>
                  <a:graphic xmlns:a="http://schemas.openxmlformats.org/drawingml/2006/main">
                    <a:graphicData uri="http://schemas.openxmlformats.org/drawingml/2006/picture">
                      <pic:pic xmlns:pic="http://schemas.openxmlformats.org/drawingml/2006/picture">
                        <pic:nvPicPr>
                          <pic:cNvPr id="8" name="Picture_13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 name="Picture_12_SpCnt_1"/>
                  <wp:cNvGraphicFramePr/>
                  <a:graphic xmlns:a="http://schemas.openxmlformats.org/drawingml/2006/main">
                    <a:graphicData uri="http://schemas.openxmlformats.org/drawingml/2006/picture">
                      <pic:pic xmlns:pic="http://schemas.openxmlformats.org/drawingml/2006/picture">
                        <pic:nvPicPr>
                          <pic:cNvPr id="6" name="Picture_12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 name="Picture_11_SpCnt_1"/>
                  <wp:cNvGraphicFramePr/>
                  <a:graphic xmlns:a="http://schemas.openxmlformats.org/drawingml/2006/main">
                    <a:graphicData uri="http://schemas.openxmlformats.org/drawingml/2006/picture">
                      <pic:pic xmlns:pic="http://schemas.openxmlformats.org/drawingml/2006/picture">
                        <pic:nvPicPr>
                          <pic:cNvPr id="5" name="Picture_11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29" name="Picture_10_SpCnt_1"/>
                  <wp:cNvGraphicFramePr/>
                  <a:graphic xmlns:a="http://schemas.openxmlformats.org/drawingml/2006/main">
                    <a:graphicData uri="http://schemas.openxmlformats.org/drawingml/2006/picture">
                      <pic:pic xmlns:pic="http://schemas.openxmlformats.org/drawingml/2006/picture">
                        <pic:nvPicPr>
                          <pic:cNvPr id="29" name="Picture_10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0" name="Picture_9_SpCnt_1"/>
                  <wp:cNvGraphicFramePr/>
                  <a:graphic xmlns:a="http://schemas.openxmlformats.org/drawingml/2006/main">
                    <a:graphicData uri="http://schemas.openxmlformats.org/drawingml/2006/picture">
                      <pic:pic xmlns:pic="http://schemas.openxmlformats.org/drawingml/2006/picture">
                        <pic:nvPicPr>
                          <pic:cNvPr id="30" name="Picture_9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1" name="Picture_6_SpCnt_1"/>
                  <wp:cNvGraphicFramePr/>
                  <a:graphic xmlns:a="http://schemas.openxmlformats.org/drawingml/2006/main">
                    <a:graphicData uri="http://schemas.openxmlformats.org/drawingml/2006/picture">
                      <pic:pic xmlns:pic="http://schemas.openxmlformats.org/drawingml/2006/picture">
                        <pic:nvPicPr>
                          <pic:cNvPr id="31" name="Picture_6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2" name="Picture_8_SpCnt_1"/>
                  <wp:cNvGraphicFramePr/>
                  <a:graphic xmlns:a="http://schemas.openxmlformats.org/drawingml/2006/main">
                    <a:graphicData uri="http://schemas.openxmlformats.org/drawingml/2006/picture">
                      <pic:pic xmlns:pic="http://schemas.openxmlformats.org/drawingml/2006/picture">
                        <pic:nvPicPr>
                          <pic:cNvPr id="32" name="Picture_8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3" name="Picture_5_SpCnt_1"/>
                  <wp:cNvGraphicFramePr/>
                  <a:graphic xmlns:a="http://schemas.openxmlformats.org/drawingml/2006/main">
                    <a:graphicData uri="http://schemas.openxmlformats.org/drawingml/2006/picture">
                      <pic:pic xmlns:pic="http://schemas.openxmlformats.org/drawingml/2006/picture">
                        <pic:nvPicPr>
                          <pic:cNvPr id="33" name="Picture_5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4" name="Picture_4_SpCnt_1"/>
                  <wp:cNvGraphicFramePr/>
                  <a:graphic xmlns:a="http://schemas.openxmlformats.org/drawingml/2006/main">
                    <a:graphicData uri="http://schemas.openxmlformats.org/drawingml/2006/picture">
                      <pic:pic xmlns:pic="http://schemas.openxmlformats.org/drawingml/2006/picture">
                        <pic:nvPicPr>
                          <pic:cNvPr id="34" name="Picture_4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5" name="Picture_3_SpCnt_3"/>
                  <wp:cNvGraphicFramePr/>
                  <a:graphic xmlns:a="http://schemas.openxmlformats.org/drawingml/2006/main">
                    <a:graphicData uri="http://schemas.openxmlformats.org/drawingml/2006/picture">
                      <pic:pic xmlns:pic="http://schemas.openxmlformats.org/drawingml/2006/picture">
                        <pic:nvPicPr>
                          <pic:cNvPr id="35" name="Picture_3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6" name="Picture_2_SpCnt_1"/>
                  <wp:cNvGraphicFramePr/>
                  <a:graphic xmlns:a="http://schemas.openxmlformats.org/drawingml/2006/main">
                    <a:graphicData uri="http://schemas.openxmlformats.org/drawingml/2006/picture">
                      <pic:pic xmlns:pic="http://schemas.openxmlformats.org/drawingml/2006/picture">
                        <pic:nvPicPr>
                          <pic:cNvPr id="36" name="Picture_2_SpCnt_1"/>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7" name="Picture_1_SpCnt_3"/>
                  <wp:cNvGraphicFramePr/>
                  <a:graphic xmlns:a="http://schemas.openxmlformats.org/drawingml/2006/main">
                    <a:graphicData uri="http://schemas.openxmlformats.org/drawingml/2006/picture">
                      <pic:pic xmlns:pic="http://schemas.openxmlformats.org/drawingml/2006/picture">
                        <pic:nvPicPr>
                          <pic:cNvPr id="37" name="Picture_1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8" name="Picture_14_SpCnt_2"/>
                  <wp:cNvGraphicFramePr/>
                  <a:graphic xmlns:a="http://schemas.openxmlformats.org/drawingml/2006/main">
                    <a:graphicData uri="http://schemas.openxmlformats.org/drawingml/2006/picture">
                      <pic:pic xmlns:pic="http://schemas.openxmlformats.org/drawingml/2006/picture">
                        <pic:nvPicPr>
                          <pic:cNvPr id="38" name="Picture_14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39" name="Picture_13_SpCnt_2"/>
                  <wp:cNvGraphicFramePr/>
                  <a:graphic xmlns:a="http://schemas.openxmlformats.org/drawingml/2006/main">
                    <a:graphicData uri="http://schemas.openxmlformats.org/drawingml/2006/picture">
                      <pic:pic xmlns:pic="http://schemas.openxmlformats.org/drawingml/2006/picture">
                        <pic:nvPicPr>
                          <pic:cNvPr id="39" name="Picture_13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0" name="Picture_12_SpCnt_2"/>
                  <wp:cNvGraphicFramePr/>
                  <a:graphic xmlns:a="http://schemas.openxmlformats.org/drawingml/2006/main">
                    <a:graphicData uri="http://schemas.openxmlformats.org/drawingml/2006/picture">
                      <pic:pic xmlns:pic="http://schemas.openxmlformats.org/drawingml/2006/picture">
                        <pic:nvPicPr>
                          <pic:cNvPr id="40" name="Picture_12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1" name="Picture_11_SpCnt_2"/>
                  <wp:cNvGraphicFramePr/>
                  <a:graphic xmlns:a="http://schemas.openxmlformats.org/drawingml/2006/main">
                    <a:graphicData uri="http://schemas.openxmlformats.org/drawingml/2006/picture">
                      <pic:pic xmlns:pic="http://schemas.openxmlformats.org/drawingml/2006/picture">
                        <pic:nvPicPr>
                          <pic:cNvPr id="41" name="Picture_11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2" name="Picture_10_SpCnt_2"/>
                  <wp:cNvGraphicFramePr/>
                  <a:graphic xmlns:a="http://schemas.openxmlformats.org/drawingml/2006/main">
                    <a:graphicData uri="http://schemas.openxmlformats.org/drawingml/2006/picture">
                      <pic:pic xmlns:pic="http://schemas.openxmlformats.org/drawingml/2006/picture">
                        <pic:nvPicPr>
                          <pic:cNvPr id="42" name="Picture_10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3" name="Picture_9_SpCnt_2"/>
                  <wp:cNvGraphicFramePr/>
                  <a:graphic xmlns:a="http://schemas.openxmlformats.org/drawingml/2006/main">
                    <a:graphicData uri="http://schemas.openxmlformats.org/drawingml/2006/picture">
                      <pic:pic xmlns:pic="http://schemas.openxmlformats.org/drawingml/2006/picture">
                        <pic:nvPicPr>
                          <pic:cNvPr id="43" name="Picture_9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4" name="Picture_8_SpCnt_2"/>
                  <wp:cNvGraphicFramePr/>
                  <a:graphic xmlns:a="http://schemas.openxmlformats.org/drawingml/2006/main">
                    <a:graphicData uri="http://schemas.openxmlformats.org/drawingml/2006/picture">
                      <pic:pic xmlns:pic="http://schemas.openxmlformats.org/drawingml/2006/picture">
                        <pic:nvPicPr>
                          <pic:cNvPr id="44" name="Picture_8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5" name="Picture_7_SpCnt_3"/>
                  <wp:cNvGraphicFramePr/>
                  <a:graphic xmlns:a="http://schemas.openxmlformats.org/drawingml/2006/main">
                    <a:graphicData uri="http://schemas.openxmlformats.org/drawingml/2006/picture">
                      <pic:pic xmlns:pic="http://schemas.openxmlformats.org/drawingml/2006/picture">
                        <pic:nvPicPr>
                          <pic:cNvPr id="45" name="Picture_7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6" name="Picture_6_SpCnt_2"/>
                  <wp:cNvGraphicFramePr/>
                  <a:graphic xmlns:a="http://schemas.openxmlformats.org/drawingml/2006/main">
                    <a:graphicData uri="http://schemas.openxmlformats.org/drawingml/2006/picture">
                      <pic:pic xmlns:pic="http://schemas.openxmlformats.org/drawingml/2006/picture">
                        <pic:nvPicPr>
                          <pic:cNvPr id="46" name="Picture_6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7" name="Picture_5_SpCnt_2"/>
                  <wp:cNvGraphicFramePr/>
                  <a:graphic xmlns:a="http://schemas.openxmlformats.org/drawingml/2006/main">
                    <a:graphicData uri="http://schemas.openxmlformats.org/drawingml/2006/picture">
                      <pic:pic xmlns:pic="http://schemas.openxmlformats.org/drawingml/2006/picture">
                        <pic:nvPicPr>
                          <pic:cNvPr id="47" name="Picture_5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8" name="Picture_4_SpCnt_2"/>
                  <wp:cNvGraphicFramePr/>
                  <a:graphic xmlns:a="http://schemas.openxmlformats.org/drawingml/2006/main">
                    <a:graphicData uri="http://schemas.openxmlformats.org/drawingml/2006/picture">
                      <pic:pic xmlns:pic="http://schemas.openxmlformats.org/drawingml/2006/picture">
                        <pic:nvPicPr>
                          <pic:cNvPr id="48" name="Picture_4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49" name="Picture_3_SpCnt_4"/>
                  <wp:cNvGraphicFramePr/>
                  <a:graphic xmlns:a="http://schemas.openxmlformats.org/drawingml/2006/main">
                    <a:graphicData uri="http://schemas.openxmlformats.org/drawingml/2006/picture">
                      <pic:pic xmlns:pic="http://schemas.openxmlformats.org/drawingml/2006/picture">
                        <pic:nvPicPr>
                          <pic:cNvPr id="49" name="Picture_3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0" name="Picture_2_SpCnt_2"/>
                  <wp:cNvGraphicFramePr/>
                  <a:graphic xmlns:a="http://schemas.openxmlformats.org/drawingml/2006/main">
                    <a:graphicData uri="http://schemas.openxmlformats.org/drawingml/2006/picture">
                      <pic:pic xmlns:pic="http://schemas.openxmlformats.org/drawingml/2006/picture">
                        <pic:nvPicPr>
                          <pic:cNvPr id="50" name="Picture_2_SpCnt_2"/>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1" name="Picture_1_SpCnt_4"/>
                  <wp:cNvGraphicFramePr/>
                  <a:graphic xmlns:a="http://schemas.openxmlformats.org/drawingml/2006/main">
                    <a:graphicData uri="http://schemas.openxmlformats.org/drawingml/2006/picture">
                      <pic:pic xmlns:pic="http://schemas.openxmlformats.org/drawingml/2006/picture">
                        <pic:nvPicPr>
                          <pic:cNvPr id="51" name="Picture_1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2" name="Picture_14_SpCnt_3"/>
                  <wp:cNvGraphicFramePr/>
                  <a:graphic xmlns:a="http://schemas.openxmlformats.org/drawingml/2006/main">
                    <a:graphicData uri="http://schemas.openxmlformats.org/drawingml/2006/picture">
                      <pic:pic xmlns:pic="http://schemas.openxmlformats.org/drawingml/2006/picture">
                        <pic:nvPicPr>
                          <pic:cNvPr id="52" name="Picture_14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3" name="Picture_13_SpCnt_3"/>
                  <wp:cNvGraphicFramePr/>
                  <a:graphic xmlns:a="http://schemas.openxmlformats.org/drawingml/2006/main">
                    <a:graphicData uri="http://schemas.openxmlformats.org/drawingml/2006/picture">
                      <pic:pic xmlns:pic="http://schemas.openxmlformats.org/drawingml/2006/picture">
                        <pic:nvPicPr>
                          <pic:cNvPr id="53" name="Picture_13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4" name="Picture_12_SpCnt_3"/>
                  <wp:cNvGraphicFramePr/>
                  <a:graphic xmlns:a="http://schemas.openxmlformats.org/drawingml/2006/main">
                    <a:graphicData uri="http://schemas.openxmlformats.org/drawingml/2006/picture">
                      <pic:pic xmlns:pic="http://schemas.openxmlformats.org/drawingml/2006/picture">
                        <pic:nvPicPr>
                          <pic:cNvPr id="54" name="Picture_12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5" name="Picture_11_SpCnt_3"/>
                  <wp:cNvGraphicFramePr/>
                  <a:graphic xmlns:a="http://schemas.openxmlformats.org/drawingml/2006/main">
                    <a:graphicData uri="http://schemas.openxmlformats.org/drawingml/2006/picture">
                      <pic:pic xmlns:pic="http://schemas.openxmlformats.org/drawingml/2006/picture">
                        <pic:nvPicPr>
                          <pic:cNvPr id="55" name="Picture_11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6" name="Picture_10_SpCnt_3"/>
                  <wp:cNvGraphicFramePr/>
                  <a:graphic xmlns:a="http://schemas.openxmlformats.org/drawingml/2006/main">
                    <a:graphicData uri="http://schemas.openxmlformats.org/drawingml/2006/picture">
                      <pic:pic xmlns:pic="http://schemas.openxmlformats.org/drawingml/2006/picture">
                        <pic:nvPicPr>
                          <pic:cNvPr id="56" name="Picture_10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7" name="Picture_9_SpCnt_3"/>
                  <wp:cNvGraphicFramePr/>
                  <a:graphic xmlns:a="http://schemas.openxmlformats.org/drawingml/2006/main">
                    <a:graphicData uri="http://schemas.openxmlformats.org/drawingml/2006/picture">
                      <pic:pic xmlns:pic="http://schemas.openxmlformats.org/drawingml/2006/picture">
                        <pic:nvPicPr>
                          <pic:cNvPr id="57" name="Picture_9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8" name="Picture_8_SpCnt_3"/>
                  <wp:cNvGraphicFramePr/>
                  <a:graphic xmlns:a="http://schemas.openxmlformats.org/drawingml/2006/main">
                    <a:graphicData uri="http://schemas.openxmlformats.org/drawingml/2006/picture">
                      <pic:pic xmlns:pic="http://schemas.openxmlformats.org/drawingml/2006/picture">
                        <pic:nvPicPr>
                          <pic:cNvPr id="58" name="Picture_8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59" name="Picture_7_SpCnt_4"/>
                  <wp:cNvGraphicFramePr/>
                  <a:graphic xmlns:a="http://schemas.openxmlformats.org/drawingml/2006/main">
                    <a:graphicData uri="http://schemas.openxmlformats.org/drawingml/2006/picture">
                      <pic:pic xmlns:pic="http://schemas.openxmlformats.org/drawingml/2006/picture">
                        <pic:nvPicPr>
                          <pic:cNvPr id="59" name="Picture_7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0" name="Picture_6_SpCnt_3"/>
                  <wp:cNvGraphicFramePr/>
                  <a:graphic xmlns:a="http://schemas.openxmlformats.org/drawingml/2006/main">
                    <a:graphicData uri="http://schemas.openxmlformats.org/drawingml/2006/picture">
                      <pic:pic xmlns:pic="http://schemas.openxmlformats.org/drawingml/2006/picture">
                        <pic:nvPicPr>
                          <pic:cNvPr id="60" name="Picture_6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1" name="Picture_5_SpCnt_3"/>
                  <wp:cNvGraphicFramePr/>
                  <a:graphic xmlns:a="http://schemas.openxmlformats.org/drawingml/2006/main">
                    <a:graphicData uri="http://schemas.openxmlformats.org/drawingml/2006/picture">
                      <pic:pic xmlns:pic="http://schemas.openxmlformats.org/drawingml/2006/picture">
                        <pic:nvPicPr>
                          <pic:cNvPr id="61" name="Picture_5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2" name="Picture_2_SpCnt_3"/>
                  <wp:cNvGraphicFramePr/>
                  <a:graphic xmlns:a="http://schemas.openxmlformats.org/drawingml/2006/main">
                    <a:graphicData uri="http://schemas.openxmlformats.org/drawingml/2006/picture">
                      <pic:pic xmlns:pic="http://schemas.openxmlformats.org/drawingml/2006/picture">
                        <pic:nvPicPr>
                          <pic:cNvPr id="62" name="Picture_2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3" name="Picture_4_SpCnt_3"/>
                  <wp:cNvGraphicFramePr/>
                  <a:graphic xmlns:a="http://schemas.openxmlformats.org/drawingml/2006/main">
                    <a:graphicData uri="http://schemas.openxmlformats.org/drawingml/2006/picture">
                      <pic:pic xmlns:pic="http://schemas.openxmlformats.org/drawingml/2006/picture">
                        <pic:nvPicPr>
                          <pic:cNvPr id="63" name="Picture_4_SpCnt_3"/>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4" name="Picture_1_SpCnt_5"/>
                  <wp:cNvGraphicFramePr/>
                  <a:graphic xmlns:a="http://schemas.openxmlformats.org/drawingml/2006/main">
                    <a:graphicData uri="http://schemas.openxmlformats.org/drawingml/2006/picture">
                      <pic:pic xmlns:pic="http://schemas.openxmlformats.org/drawingml/2006/picture">
                        <pic:nvPicPr>
                          <pic:cNvPr id="64" name="Picture_1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5" name="Picture_14_SpCnt_4"/>
                  <wp:cNvGraphicFramePr/>
                  <a:graphic xmlns:a="http://schemas.openxmlformats.org/drawingml/2006/main">
                    <a:graphicData uri="http://schemas.openxmlformats.org/drawingml/2006/picture">
                      <pic:pic xmlns:pic="http://schemas.openxmlformats.org/drawingml/2006/picture">
                        <pic:nvPicPr>
                          <pic:cNvPr id="65" name="Picture_14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6" name="Picture_13_SpCnt_4"/>
                  <wp:cNvGraphicFramePr/>
                  <a:graphic xmlns:a="http://schemas.openxmlformats.org/drawingml/2006/main">
                    <a:graphicData uri="http://schemas.openxmlformats.org/drawingml/2006/picture">
                      <pic:pic xmlns:pic="http://schemas.openxmlformats.org/drawingml/2006/picture">
                        <pic:nvPicPr>
                          <pic:cNvPr id="66" name="Picture_13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7" name="Picture_12_SpCnt_4"/>
                  <wp:cNvGraphicFramePr/>
                  <a:graphic xmlns:a="http://schemas.openxmlformats.org/drawingml/2006/main">
                    <a:graphicData uri="http://schemas.openxmlformats.org/drawingml/2006/picture">
                      <pic:pic xmlns:pic="http://schemas.openxmlformats.org/drawingml/2006/picture">
                        <pic:nvPicPr>
                          <pic:cNvPr id="67" name="Picture_12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8" name="Picture_11_SpCnt_4"/>
                  <wp:cNvGraphicFramePr/>
                  <a:graphic xmlns:a="http://schemas.openxmlformats.org/drawingml/2006/main">
                    <a:graphicData uri="http://schemas.openxmlformats.org/drawingml/2006/picture">
                      <pic:pic xmlns:pic="http://schemas.openxmlformats.org/drawingml/2006/picture">
                        <pic:nvPicPr>
                          <pic:cNvPr id="68" name="Picture_11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69" name="Picture_10_SpCnt_4"/>
                  <wp:cNvGraphicFramePr/>
                  <a:graphic xmlns:a="http://schemas.openxmlformats.org/drawingml/2006/main">
                    <a:graphicData uri="http://schemas.openxmlformats.org/drawingml/2006/picture">
                      <pic:pic xmlns:pic="http://schemas.openxmlformats.org/drawingml/2006/picture">
                        <pic:nvPicPr>
                          <pic:cNvPr id="69" name="Picture_10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0" name="Picture_9_SpCnt_4"/>
                  <wp:cNvGraphicFramePr/>
                  <a:graphic xmlns:a="http://schemas.openxmlformats.org/drawingml/2006/main">
                    <a:graphicData uri="http://schemas.openxmlformats.org/drawingml/2006/picture">
                      <pic:pic xmlns:pic="http://schemas.openxmlformats.org/drawingml/2006/picture">
                        <pic:nvPicPr>
                          <pic:cNvPr id="70" name="Picture_9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1" name="Picture_8_SpCnt_4"/>
                  <wp:cNvGraphicFramePr/>
                  <a:graphic xmlns:a="http://schemas.openxmlformats.org/drawingml/2006/main">
                    <a:graphicData uri="http://schemas.openxmlformats.org/drawingml/2006/picture">
                      <pic:pic xmlns:pic="http://schemas.openxmlformats.org/drawingml/2006/picture">
                        <pic:nvPicPr>
                          <pic:cNvPr id="71" name="Picture_8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2" name="Picture_7_SpCnt_5"/>
                  <wp:cNvGraphicFramePr/>
                  <a:graphic xmlns:a="http://schemas.openxmlformats.org/drawingml/2006/main">
                    <a:graphicData uri="http://schemas.openxmlformats.org/drawingml/2006/picture">
                      <pic:pic xmlns:pic="http://schemas.openxmlformats.org/drawingml/2006/picture">
                        <pic:nvPicPr>
                          <pic:cNvPr id="72" name="Picture_7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3" name="Picture_6_SpCnt_4"/>
                  <wp:cNvGraphicFramePr/>
                  <a:graphic xmlns:a="http://schemas.openxmlformats.org/drawingml/2006/main">
                    <a:graphicData uri="http://schemas.openxmlformats.org/drawingml/2006/picture">
                      <pic:pic xmlns:pic="http://schemas.openxmlformats.org/drawingml/2006/picture">
                        <pic:nvPicPr>
                          <pic:cNvPr id="73" name="Picture_6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4" name="Picture_5_SpCnt_4"/>
                  <wp:cNvGraphicFramePr/>
                  <a:graphic xmlns:a="http://schemas.openxmlformats.org/drawingml/2006/main">
                    <a:graphicData uri="http://schemas.openxmlformats.org/drawingml/2006/picture">
                      <pic:pic xmlns:pic="http://schemas.openxmlformats.org/drawingml/2006/picture">
                        <pic:nvPicPr>
                          <pic:cNvPr id="74" name="Picture_5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5" name="Picture_4_SpCnt_4"/>
                  <wp:cNvGraphicFramePr/>
                  <a:graphic xmlns:a="http://schemas.openxmlformats.org/drawingml/2006/main">
                    <a:graphicData uri="http://schemas.openxmlformats.org/drawingml/2006/picture">
                      <pic:pic xmlns:pic="http://schemas.openxmlformats.org/drawingml/2006/picture">
                        <pic:nvPicPr>
                          <pic:cNvPr id="75" name="Picture_4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6" name="Picture_3_SpCnt_5"/>
                  <wp:cNvGraphicFramePr/>
                  <a:graphic xmlns:a="http://schemas.openxmlformats.org/drawingml/2006/main">
                    <a:graphicData uri="http://schemas.openxmlformats.org/drawingml/2006/picture">
                      <pic:pic xmlns:pic="http://schemas.openxmlformats.org/drawingml/2006/picture">
                        <pic:nvPicPr>
                          <pic:cNvPr id="76" name="Picture_3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7" name="Picture_14_SpCnt_5"/>
                  <wp:cNvGraphicFramePr/>
                  <a:graphic xmlns:a="http://schemas.openxmlformats.org/drawingml/2006/main">
                    <a:graphicData uri="http://schemas.openxmlformats.org/drawingml/2006/picture">
                      <pic:pic xmlns:pic="http://schemas.openxmlformats.org/drawingml/2006/picture">
                        <pic:nvPicPr>
                          <pic:cNvPr id="77" name="Picture_14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8" name="Picture_2_SpCnt_4"/>
                  <wp:cNvGraphicFramePr/>
                  <a:graphic xmlns:a="http://schemas.openxmlformats.org/drawingml/2006/main">
                    <a:graphicData uri="http://schemas.openxmlformats.org/drawingml/2006/picture">
                      <pic:pic xmlns:pic="http://schemas.openxmlformats.org/drawingml/2006/picture">
                        <pic:nvPicPr>
                          <pic:cNvPr id="78" name="Picture_2_SpCnt_4"/>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79" name="Picture_13_SpCnt_5"/>
                  <wp:cNvGraphicFramePr/>
                  <a:graphic xmlns:a="http://schemas.openxmlformats.org/drawingml/2006/main">
                    <a:graphicData uri="http://schemas.openxmlformats.org/drawingml/2006/picture">
                      <pic:pic xmlns:pic="http://schemas.openxmlformats.org/drawingml/2006/picture">
                        <pic:nvPicPr>
                          <pic:cNvPr id="79" name="Picture_13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0" name="Picture_12_SpCnt_5"/>
                  <wp:cNvGraphicFramePr/>
                  <a:graphic xmlns:a="http://schemas.openxmlformats.org/drawingml/2006/main">
                    <a:graphicData uri="http://schemas.openxmlformats.org/drawingml/2006/picture">
                      <pic:pic xmlns:pic="http://schemas.openxmlformats.org/drawingml/2006/picture">
                        <pic:nvPicPr>
                          <pic:cNvPr id="80" name="Picture_12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1" name="Picture_11_SpCnt_5"/>
                  <wp:cNvGraphicFramePr/>
                  <a:graphic xmlns:a="http://schemas.openxmlformats.org/drawingml/2006/main">
                    <a:graphicData uri="http://schemas.openxmlformats.org/drawingml/2006/picture">
                      <pic:pic xmlns:pic="http://schemas.openxmlformats.org/drawingml/2006/picture">
                        <pic:nvPicPr>
                          <pic:cNvPr id="81" name="Picture_11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2" name="Picture_10_SpCnt_5"/>
                  <wp:cNvGraphicFramePr/>
                  <a:graphic xmlns:a="http://schemas.openxmlformats.org/drawingml/2006/main">
                    <a:graphicData uri="http://schemas.openxmlformats.org/drawingml/2006/picture">
                      <pic:pic xmlns:pic="http://schemas.openxmlformats.org/drawingml/2006/picture">
                        <pic:nvPicPr>
                          <pic:cNvPr id="82" name="Picture_10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3" name="Picture_9_SpCnt_5"/>
                  <wp:cNvGraphicFramePr/>
                  <a:graphic xmlns:a="http://schemas.openxmlformats.org/drawingml/2006/main">
                    <a:graphicData uri="http://schemas.openxmlformats.org/drawingml/2006/picture">
                      <pic:pic xmlns:pic="http://schemas.openxmlformats.org/drawingml/2006/picture">
                        <pic:nvPicPr>
                          <pic:cNvPr id="83" name="Picture_9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4" name="Picture_6_SpCnt_5"/>
                  <wp:cNvGraphicFramePr/>
                  <a:graphic xmlns:a="http://schemas.openxmlformats.org/drawingml/2006/main">
                    <a:graphicData uri="http://schemas.openxmlformats.org/drawingml/2006/picture">
                      <pic:pic xmlns:pic="http://schemas.openxmlformats.org/drawingml/2006/picture">
                        <pic:nvPicPr>
                          <pic:cNvPr id="84" name="Picture_6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5" name="Picture_8_SpCnt_5"/>
                  <wp:cNvGraphicFramePr/>
                  <a:graphic xmlns:a="http://schemas.openxmlformats.org/drawingml/2006/main">
                    <a:graphicData uri="http://schemas.openxmlformats.org/drawingml/2006/picture">
                      <pic:pic xmlns:pic="http://schemas.openxmlformats.org/drawingml/2006/picture">
                        <pic:nvPicPr>
                          <pic:cNvPr id="85" name="Picture_8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6" name="Picture_5_SpCnt_5"/>
                  <wp:cNvGraphicFramePr/>
                  <a:graphic xmlns:a="http://schemas.openxmlformats.org/drawingml/2006/main">
                    <a:graphicData uri="http://schemas.openxmlformats.org/drawingml/2006/picture">
                      <pic:pic xmlns:pic="http://schemas.openxmlformats.org/drawingml/2006/picture">
                        <pic:nvPicPr>
                          <pic:cNvPr id="86" name="Picture_5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7" name="Picture_2_SpCnt_5"/>
                  <wp:cNvGraphicFramePr/>
                  <a:graphic xmlns:a="http://schemas.openxmlformats.org/drawingml/2006/main">
                    <a:graphicData uri="http://schemas.openxmlformats.org/drawingml/2006/picture">
                      <pic:pic xmlns:pic="http://schemas.openxmlformats.org/drawingml/2006/picture">
                        <pic:nvPicPr>
                          <pic:cNvPr id="87" name="Picture_2_SpCnt_5"/>
                          <pic:cNvPicPr/>
                        </pic:nvPicPr>
                        <pic:blipFill>
                          <a:blip r:embed="rId9"/>
                          <a:stretch>
                            <a:fillRect/>
                          </a:stretch>
                        </pic:blipFill>
                        <pic:spPr>
                          <a:xfrm>
                            <a:off x="0" y="0"/>
                            <a:ext cx="133350" cy="180975"/>
                          </a:xfrm>
                          <a:prstGeom prst="rect">
                            <a:avLst/>
                          </a:prstGeom>
                          <a:noFill/>
                          <a:ln>
                            <a:noFill/>
                          </a:ln>
                        </pic:spPr>
                      </pic:pic>
                    </a:graphicData>
                  </a:graphic>
                </wp:anchor>
              </w:drawing>
            </w:r>
            <w:r>
              <w:rPr>
                <w:rFonts w:hint="eastAsia" w:ascii="宋体" w:hAnsi="宋体" w:eastAsia="宋体" w:cs="宋体"/>
                <w:b/>
                <w:bCs/>
                <w:i w:val="0"/>
                <w:iCs w:val="0"/>
                <w:color w:val="auto"/>
                <w:kern w:val="0"/>
                <w:sz w:val="18"/>
                <w:szCs w:val="18"/>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3350" cy="180975"/>
                  <wp:effectExtent l="0" t="0" r="0" b="0"/>
                  <wp:wrapNone/>
                  <wp:docPr id="88" name="Picture_4_SpCnt_5"/>
                  <wp:cNvGraphicFramePr/>
                  <a:graphic xmlns:a="http://schemas.openxmlformats.org/drawingml/2006/main">
                    <a:graphicData uri="http://schemas.openxmlformats.org/drawingml/2006/picture">
                      <pic:pic xmlns:pic="http://schemas.openxmlformats.org/drawingml/2006/picture">
                        <pic:nvPicPr>
                          <pic:cNvPr id="88" name="Picture_4_SpCnt_5"/>
                          <pic:cNvPicPr/>
                        </pic:nvPicPr>
                        <pic:blipFill>
                          <a:blip r:embed="rId9"/>
                          <a:stretch>
                            <a:fillRect/>
                          </a:stretch>
                        </pic:blipFill>
                        <pic:spPr>
                          <a:xfrm>
                            <a:off x="0" y="0"/>
                            <a:ext cx="133350" cy="18097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F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 xml:space="preserve">247757.75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FDC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auto"/>
                <w:sz w:val="18"/>
                <w:szCs w:val="18"/>
                <w:highlight w:val="none"/>
                <w:u w:val="none"/>
              </w:rPr>
            </w:pPr>
          </w:p>
        </w:tc>
      </w:tr>
    </w:tbl>
    <w:p w14:paraId="11289B30">
      <w:pPr>
        <w:spacing w:line="400" w:lineRule="exact"/>
        <w:rPr>
          <w:rFonts w:hint="eastAsia" w:ascii="宋体" w:hAnsi="宋体" w:eastAsia="宋体" w:cs="宋体"/>
          <w:bCs/>
          <w:color w:val="auto"/>
          <w:sz w:val="24"/>
          <w:highlight w:val="none"/>
        </w:rPr>
      </w:pPr>
      <w:r>
        <w:rPr>
          <w:rFonts w:hint="eastAsia" w:ascii="宋体" w:hAnsi="宋体" w:eastAsia="宋体" w:cs="宋体"/>
          <w:b/>
          <w:bCs/>
          <w:color w:val="auto"/>
          <w:sz w:val="32"/>
          <w:szCs w:val="32"/>
          <w:highlight w:val="none"/>
        </w:rPr>
        <w:br w:type="page"/>
      </w:r>
      <w:bookmarkEnd w:id="6"/>
      <w:bookmarkEnd w:id="7"/>
    </w:p>
    <w:p w14:paraId="42992829">
      <w:pPr>
        <w:spacing w:line="510" w:lineRule="exact"/>
        <w:rPr>
          <w:rFonts w:hint="eastAsia" w:ascii="宋体" w:hAnsi="宋体" w:eastAsia="宋体" w:cs="宋体"/>
          <w:color w:val="auto"/>
          <w:sz w:val="24"/>
          <w:highlight w:val="none"/>
        </w:rPr>
        <w:sectPr>
          <w:pgSz w:w="16838" w:h="11905" w:orient="landscape"/>
          <w:pgMar w:top="1531" w:right="1531" w:bottom="1531" w:left="1531" w:header="850" w:footer="992" w:gutter="0"/>
          <w:cols w:space="0" w:num="1"/>
          <w:rtlGutter w:val="0"/>
          <w:docGrid w:type="lines" w:linePitch="315" w:charSpace="0"/>
        </w:sectPr>
      </w:pPr>
    </w:p>
    <w:p w14:paraId="0F51985E">
      <w:pPr>
        <w:spacing w:line="510" w:lineRule="exact"/>
        <w:rPr>
          <w:rFonts w:hint="eastAsia" w:ascii="宋体" w:hAnsi="宋体" w:eastAsia="宋体" w:cs="宋体"/>
          <w:color w:val="auto"/>
          <w:sz w:val="24"/>
          <w:highlight w:val="none"/>
        </w:rPr>
      </w:pPr>
      <w:r>
        <w:rPr>
          <w:rFonts w:hint="eastAsia"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79F3EFC">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79F3EFC">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0C374290">
      <w:pPr>
        <w:widowControl/>
        <w:overflowPunct w:val="0"/>
        <w:rPr>
          <w:rFonts w:hint="eastAsia" w:ascii="宋体" w:hAnsi="宋体" w:eastAsia="宋体" w:cs="宋体"/>
          <w:color w:val="auto"/>
          <w:sz w:val="32"/>
          <w:highlight w:val="none"/>
        </w:rPr>
      </w:pPr>
    </w:p>
    <w:p w14:paraId="79136311">
      <w:pPr>
        <w:overflowPunct w:val="0"/>
        <w:spacing w:beforeLines="100"/>
        <w:jc w:val="center"/>
        <w:rPr>
          <w:rFonts w:hint="eastAsia" w:ascii="宋体" w:hAnsi="宋体" w:eastAsia="宋体" w:cs="宋体"/>
          <w:bCs/>
          <w:color w:val="auto"/>
          <w:sz w:val="36"/>
          <w:szCs w:val="36"/>
          <w:highlight w:val="none"/>
        </w:rPr>
      </w:pPr>
    </w:p>
    <w:p w14:paraId="03ACE7E5">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浏阳市农村产权交易中心项目一农村产权交易中心办公多媒体采购项目</w:t>
      </w:r>
    </w:p>
    <w:p w14:paraId="48934A6D">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71CF89B7">
      <w:pPr>
        <w:widowControl/>
        <w:overflowPunct w:val="0"/>
        <w:rPr>
          <w:rFonts w:hint="eastAsia" w:ascii="宋体" w:hAnsi="宋体" w:eastAsia="宋体" w:cs="宋体"/>
          <w:color w:val="auto"/>
          <w:sz w:val="32"/>
          <w:highlight w:val="none"/>
        </w:rPr>
      </w:pPr>
    </w:p>
    <w:p w14:paraId="3CBB8A6E">
      <w:pPr>
        <w:widowControl/>
        <w:overflowPunct w:val="0"/>
        <w:rPr>
          <w:rFonts w:hint="eastAsia" w:ascii="宋体" w:hAnsi="宋体" w:eastAsia="宋体" w:cs="宋体"/>
          <w:color w:val="auto"/>
          <w:sz w:val="32"/>
          <w:highlight w:val="none"/>
        </w:rPr>
      </w:pPr>
    </w:p>
    <w:p w14:paraId="57F2C460">
      <w:pPr>
        <w:widowControl/>
        <w:overflowPunct w:val="0"/>
        <w:rPr>
          <w:rFonts w:hint="eastAsia" w:ascii="宋体" w:hAnsi="宋体" w:eastAsia="宋体" w:cs="宋体"/>
          <w:color w:val="auto"/>
          <w:sz w:val="32"/>
          <w:highlight w:val="none"/>
        </w:rPr>
      </w:pPr>
    </w:p>
    <w:p w14:paraId="5EF03509">
      <w:pPr>
        <w:widowControl/>
        <w:overflowPunct w:val="0"/>
        <w:rPr>
          <w:rFonts w:hint="eastAsia" w:ascii="宋体" w:hAnsi="宋体" w:eastAsia="宋体" w:cs="宋体"/>
          <w:color w:val="auto"/>
          <w:sz w:val="32"/>
          <w:highlight w:val="none"/>
        </w:rPr>
      </w:pPr>
    </w:p>
    <w:p w14:paraId="63B208F1">
      <w:pPr>
        <w:widowControl/>
        <w:overflowPunct w:val="0"/>
        <w:rPr>
          <w:rFonts w:hint="eastAsia" w:ascii="宋体" w:hAnsi="宋体" w:eastAsia="宋体" w:cs="宋体"/>
          <w:color w:val="auto"/>
          <w:sz w:val="32"/>
          <w:highlight w:val="none"/>
        </w:rPr>
      </w:pPr>
    </w:p>
    <w:p w14:paraId="33B14E3D">
      <w:pPr>
        <w:widowControl/>
        <w:overflowPunct w:val="0"/>
        <w:rPr>
          <w:rFonts w:hint="eastAsia" w:ascii="宋体" w:hAnsi="宋体" w:eastAsia="宋体" w:cs="宋体"/>
          <w:color w:val="auto"/>
          <w:sz w:val="32"/>
          <w:highlight w:val="none"/>
        </w:rPr>
      </w:pPr>
    </w:p>
    <w:p w14:paraId="59850EAC">
      <w:pPr>
        <w:widowControl/>
        <w:overflowPunct w:val="0"/>
        <w:rPr>
          <w:rFonts w:hint="eastAsia" w:ascii="宋体" w:hAnsi="宋体" w:eastAsia="宋体" w:cs="宋体"/>
          <w:color w:val="auto"/>
          <w:sz w:val="32"/>
          <w:highlight w:val="none"/>
        </w:rPr>
      </w:pPr>
    </w:p>
    <w:p w14:paraId="5A3CB900">
      <w:pPr>
        <w:widowControl/>
        <w:overflowPunct w:val="0"/>
        <w:rPr>
          <w:rFonts w:hint="eastAsia" w:ascii="宋体" w:hAnsi="宋体" w:eastAsia="宋体" w:cs="宋体"/>
          <w:color w:val="auto"/>
          <w:sz w:val="32"/>
          <w:highlight w:val="none"/>
        </w:rPr>
      </w:pPr>
    </w:p>
    <w:p w14:paraId="3D9409A6">
      <w:pPr>
        <w:widowControl/>
        <w:overflowPunct w:val="0"/>
        <w:rPr>
          <w:rFonts w:hint="eastAsia" w:ascii="宋体" w:hAnsi="宋体" w:eastAsia="宋体" w:cs="宋体"/>
          <w:color w:val="auto"/>
          <w:sz w:val="32"/>
          <w:highlight w:val="none"/>
        </w:rPr>
      </w:pPr>
    </w:p>
    <w:p w14:paraId="3FFDA0DC">
      <w:pPr>
        <w:overflowPunct w:val="0"/>
        <w:jc w:val="left"/>
        <w:rPr>
          <w:rFonts w:hint="eastAsia" w:ascii="宋体" w:hAnsi="宋体" w:eastAsia="宋体" w:cs="宋体"/>
          <w:color w:val="auto"/>
          <w:sz w:val="24"/>
          <w:szCs w:val="28"/>
          <w:highlight w:val="none"/>
        </w:rPr>
      </w:pPr>
    </w:p>
    <w:p w14:paraId="4C2BE21B">
      <w:pPr>
        <w:overflowPunct w:val="0"/>
        <w:jc w:val="left"/>
        <w:rPr>
          <w:rFonts w:hint="eastAsia" w:ascii="宋体" w:hAnsi="宋体" w:eastAsia="宋体" w:cs="宋体"/>
          <w:color w:val="auto"/>
          <w:sz w:val="24"/>
          <w:szCs w:val="28"/>
          <w:highlight w:val="none"/>
        </w:rPr>
      </w:pPr>
    </w:p>
    <w:p w14:paraId="3F490CE0">
      <w:pPr>
        <w:overflowPunct w:val="0"/>
        <w:ind w:firstLine="2160" w:firstLineChars="90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3F8B0DEA">
      <w:pPr>
        <w:overflowPunct w:val="0"/>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69509A14">
      <w:pPr>
        <w:overflowPunct w:val="0"/>
        <w:ind w:firstLine="2640" w:firstLineChars="11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8"/>
          <w:highlight w:val="none"/>
          <w:lang w:eastAsia="zh-CN"/>
        </w:rPr>
        <w:t>日期：</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56202280">
      <w:pPr>
        <w:spacing w:line="420" w:lineRule="exact"/>
        <w:jc w:val="center"/>
        <w:rPr>
          <w:rFonts w:hint="eastAsia" w:ascii="宋体" w:hAnsi="宋体" w:eastAsia="宋体" w:cs="宋体"/>
          <w:color w:val="auto"/>
          <w:sz w:val="24"/>
          <w:highlight w:val="none"/>
        </w:rPr>
      </w:pPr>
    </w:p>
    <w:p w14:paraId="21E06DA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46467D08">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4F241A84">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4C39AAF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01C8133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44C8756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3C596AD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45728567">
      <w:pPr>
        <w:spacing w:line="420" w:lineRule="exact"/>
        <w:ind w:firstLine="480"/>
        <w:rPr>
          <w:rFonts w:hint="eastAsia" w:ascii="宋体" w:hAnsi="宋体" w:eastAsia="宋体" w:cs="宋体"/>
          <w:color w:val="auto"/>
          <w:sz w:val="24"/>
          <w:highlight w:val="none"/>
        </w:rPr>
      </w:pPr>
    </w:p>
    <w:p w14:paraId="16B2AD84">
      <w:pPr>
        <w:spacing w:line="420" w:lineRule="exact"/>
        <w:jc w:val="center"/>
        <w:rPr>
          <w:rFonts w:hint="eastAsia" w:ascii="宋体" w:hAnsi="宋体" w:eastAsia="宋体" w:cs="宋体"/>
          <w:color w:val="auto"/>
          <w:sz w:val="24"/>
          <w:highlight w:val="none"/>
        </w:rPr>
      </w:pPr>
    </w:p>
    <w:p w14:paraId="7373BADE">
      <w:pPr>
        <w:spacing w:line="420" w:lineRule="exact"/>
        <w:jc w:val="center"/>
        <w:rPr>
          <w:rFonts w:hint="eastAsia" w:ascii="宋体" w:hAnsi="宋体" w:eastAsia="宋体" w:cs="宋体"/>
          <w:color w:val="auto"/>
          <w:sz w:val="24"/>
          <w:highlight w:val="none"/>
        </w:rPr>
      </w:pPr>
    </w:p>
    <w:p w14:paraId="24CE8B99">
      <w:pPr>
        <w:spacing w:line="420" w:lineRule="exact"/>
        <w:jc w:val="center"/>
        <w:rPr>
          <w:rFonts w:hint="eastAsia" w:ascii="宋体" w:hAnsi="宋体" w:eastAsia="宋体" w:cs="宋体"/>
          <w:color w:val="auto"/>
          <w:sz w:val="24"/>
          <w:highlight w:val="none"/>
        </w:rPr>
      </w:pPr>
    </w:p>
    <w:p w14:paraId="1D556286">
      <w:pPr>
        <w:spacing w:line="420" w:lineRule="exact"/>
        <w:jc w:val="center"/>
        <w:rPr>
          <w:rFonts w:hint="eastAsia" w:ascii="宋体" w:hAnsi="宋体" w:eastAsia="宋体" w:cs="宋体"/>
          <w:color w:val="auto"/>
          <w:sz w:val="24"/>
          <w:highlight w:val="none"/>
        </w:rPr>
      </w:pPr>
    </w:p>
    <w:p w14:paraId="32663147">
      <w:pPr>
        <w:spacing w:line="420" w:lineRule="exact"/>
        <w:jc w:val="center"/>
        <w:rPr>
          <w:rFonts w:hint="eastAsia" w:ascii="宋体" w:hAnsi="宋体" w:eastAsia="宋体" w:cs="宋体"/>
          <w:color w:val="auto"/>
          <w:sz w:val="24"/>
          <w:highlight w:val="none"/>
        </w:rPr>
      </w:pPr>
    </w:p>
    <w:p w14:paraId="68C9F1F7">
      <w:pPr>
        <w:spacing w:line="420" w:lineRule="exact"/>
        <w:jc w:val="center"/>
        <w:rPr>
          <w:rFonts w:hint="eastAsia" w:ascii="宋体" w:hAnsi="宋体" w:eastAsia="宋体" w:cs="宋体"/>
          <w:color w:val="auto"/>
          <w:sz w:val="24"/>
          <w:highlight w:val="none"/>
        </w:rPr>
      </w:pPr>
    </w:p>
    <w:p w14:paraId="197A5E95">
      <w:pPr>
        <w:spacing w:line="420" w:lineRule="exact"/>
        <w:jc w:val="center"/>
        <w:rPr>
          <w:rFonts w:hint="eastAsia" w:ascii="宋体" w:hAnsi="宋体" w:eastAsia="宋体" w:cs="宋体"/>
          <w:color w:val="auto"/>
          <w:sz w:val="24"/>
          <w:highlight w:val="none"/>
        </w:rPr>
      </w:pPr>
    </w:p>
    <w:p w14:paraId="3C96F026">
      <w:pPr>
        <w:spacing w:line="420" w:lineRule="exact"/>
        <w:jc w:val="center"/>
        <w:rPr>
          <w:rFonts w:hint="eastAsia" w:ascii="宋体" w:hAnsi="宋体" w:eastAsia="宋体" w:cs="宋体"/>
          <w:color w:val="auto"/>
          <w:sz w:val="24"/>
          <w:highlight w:val="none"/>
        </w:rPr>
      </w:pPr>
    </w:p>
    <w:p w14:paraId="157AD179">
      <w:pPr>
        <w:spacing w:line="420" w:lineRule="exact"/>
        <w:jc w:val="center"/>
        <w:rPr>
          <w:rFonts w:hint="eastAsia" w:ascii="宋体" w:hAnsi="宋体" w:eastAsia="宋体" w:cs="宋体"/>
          <w:color w:val="auto"/>
          <w:sz w:val="24"/>
          <w:highlight w:val="none"/>
        </w:rPr>
      </w:pPr>
    </w:p>
    <w:p w14:paraId="637E70B7">
      <w:pPr>
        <w:spacing w:line="420" w:lineRule="exact"/>
        <w:jc w:val="center"/>
        <w:rPr>
          <w:rFonts w:hint="eastAsia" w:ascii="宋体" w:hAnsi="宋体" w:eastAsia="宋体" w:cs="宋体"/>
          <w:color w:val="auto"/>
          <w:sz w:val="24"/>
          <w:highlight w:val="none"/>
        </w:rPr>
      </w:pPr>
    </w:p>
    <w:p w14:paraId="16164A03">
      <w:pPr>
        <w:spacing w:line="420" w:lineRule="exact"/>
        <w:jc w:val="center"/>
        <w:rPr>
          <w:rFonts w:hint="eastAsia" w:ascii="宋体" w:hAnsi="宋体" w:eastAsia="宋体" w:cs="宋体"/>
          <w:color w:val="auto"/>
          <w:sz w:val="24"/>
          <w:highlight w:val="none"/>
        </w:rPr>
      </w:pPr>
    </w:p>
    <w:p w14:paraId="005E8404">
      <w:pPr>
        <w:spacing w:line="420" w:lineRule="exact"/>
        <w:jc w:val="center"/>
        <w:rPr>
          <w:rFonts w:hint="eastAsia" w:ascii="宋体" w:hAnsi="宋体" w:eastAsia="宋体" w:cs="宋体"/>
          <w:color w:val="auto"/>
          <w:sz w:val="24"/>
          <w:highlight w:val="none"/>
        </w:rPr>
      </w:pPr>
    </w:p>
    <w:p w14:paraId="4E530854">
      <w:pPr>
        <w:spacing w:line="420" w:lineRule="exact"/>
        <w:jc w:val="center"/>
        <w:rPr>
          <w:rFonts w:hint="eastAsia" w:ascii="宋体" w:hAnsi="宋体" w:eastAsia="宋体" w:cs="宋体"/>
          <w:color w:val="auto"/>
          <w:sz w:val="24"/>
          <w:highlight w:val="none"/>
        </w:rPr>
      </w:pPr>
    </w:p>
    <w:p w14:paraId="596665AB">
      <w:pPr>
        <w:spacing w:line="420" w:lineRule="exact"/>
        <w:jc w:val="center"/>
        <w:rPr>
          <w:rFonts w:hint="eastAsia" w:ascii="宋体" w:hAnsi="宋体" w:eastAsia="宋体" w:cs="宋体"/>
          <w:color w:val="auto"/>
          <w:sz w:val="24"/>
          <w:highlight w:val="none"/>
        </w:rPr>
      </w:pPr>
    </w:p>
    <w:p w14:paraId="7C557053">
      <w:pPr>
        <w:spacing w:line="420" w:lineRule="exact"/>
        <w:jc w:val="center"/>
        <w:rPr>
          <w:rFonts w:hint="eastAsia" w:ascii="宋体" w:hAnsi="宋体" w:eastAsia="宋体" w:cs="宋体"/>
          <w:color w:val="auto"/>
          <w:sz w:val="24"/>
          <w:highlight w:val="none"/>
        </w:rPr>
      </w:pPr>
    </w:p>
    <w:p w14:paraId="0B8C04B4">
      <w:pPr>
        <w:spacing w:line="420" w:lineRule="exact"/>
        <w:jc w:val="center"/>
        <w:rPr>
          <w:rFonts w:hint="eastAsia" w:ascii="宋体" w:hAnsi="宋体" w:eastAsia="宋体" w:cs="宋体"/>
          <w:color w:val="auto"/>
          <w:sz w:val="24"/>
          <w:highlight w:val="none"/>
        </w:rPr>
      </w:pPr>
    </w:p>
    <w:p w14:paraId="4E192FEB">
      <w:pPr>
        <w:spacing w:line="420" w:lineRule="exact"/>
        <w:jc w:val="center"/>
        <w:rPr>
          <w:rFonts w:hint="eastAsia" w:ascii="宋体" w:hAnsi="宋体" w:eastAsia="宋体" w:cs="宋体"/>
          <w:color w:val="auto"/>
          <w:sz w:val="24"/>
          <w:highlight w:val="none"/>
        </w:rPr>
      </w:pPr>
    </w:p>
    <w:p w14:paraId="67239739">
      <w:pPr>
        <w:spacing w:line="420" w:lineRule="exact"/>
        <w:jc w:val="center"/>
        <w:rPr>
          <w:rFonts w:hint="eastAsia" w:ascii="宋体" w:hAnsi="宋体" w:eastAsia="宋体" w:cs="宋体"/>
          <w:color w:val="auto"/>
          <w:sz w:val="24"/>
          <w:highlight w:val="none"/>
        </w:rPr>
      </w:pPr>
    </w:p>
    <w:p w14:paraId="22BA8C24">
      <w:pPr>
        <w:spacing w:line="420" w:lineRule="exact"/>
        <w:jc w:val="center"/>
        <w:rPr>
          <w:rFonts w:hint="eastAsia" w:ascii="宋体" w:hAnsi="宋体" w:eastAsia="宋体" w:cs="宋体"/>
          <w:color w:val="auto"/>
          <w:sz w:val="24"/>
          <w:highlight w:val="none"/>
        </w:rPr>
      </w:pPr>
    </w:p>
    <w:p w14:paraId="333275D9">
      <w:pPr>
        <w:spacing w:line="420" w:lineRule="exact"/>
        <w:jc w:val="center"/>
        <w:rPr>
          <w:rFonts w:hint="eastAsia" w:ascii="宋体" w:hAnsi="宋体" w:eastAsia="宋体" w:cs="宋体"/>
          <w:color w:val="auto"/>
          <w:sz w:val="24"/>
          <w:highlight w:val="none"/>
        </w:rPr>
      </w:pPr>
    </w:p>
    <w:p w14:paraId="4663BBF5">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25AD79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1D9FBC5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0994568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2C4CE76">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13CFA43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2A1124B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1E1EB2C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2946457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2B1747B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3C2376E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002BC6D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301936A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263FCD3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3367F14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008DD22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7E29C66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14:paraId="73C14CD3">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6B4A0F55">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B9CBF7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0AE7F24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14:paraId="4D101C0B">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085645DE">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141FA35D">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5" w:h="16838"/>
          <w:pgMar w:top="1531" w:right="1531" w:bottom="1531" w:left="1531" w:header="850" w:footer="992" w:gutter="0"/>
          <w:cols w:space="0" w:num="1"/>
          <w:rtlGutter w:val="0"/>
          <w:docGrid w:type="lines" w:linePitch="315" w:charSpace="0"/>
        </w:sectPr>
      </w:pPr>
    </w:p>
    <w:p w14:paraId="679DD18D">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2028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070CB280">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tc>
        <w:tc>
          <w:tcPr>
            <w:tcW w:w="7348" w:type="dxa"/>
            <w:vAlign w:val="center"/>
          </w:tcPr>
          <w:p w14:paraId="4C253CA7">
            <w:pPr>
              <w:spacing w:line="700" w:lineRule="exact"/>
              <w:jc w:val="center"/>
              <w:rPr>
                <w:rFonts w:hint="eastAsia" w:ascii="宋体" w:hAnsi="宋体" w:eastAsia="宋体" w:cs="宋体"/>
                <w:color w:val="auto"/>
                <w:sz w:val="24"/>
                <w:szCs w:val="24"/>
                <w:highlight w:val="none"/>
              </w:rPr>
            </w:pPr>
          </w:p>
        </w:tc>
      </w:tr>
      <w:tr w14:paraId="0DB4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1355070C">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48" w:type="dxa"/>
            <w:vAlign w:val="center"/>
          </w:tcPr>
          <w:p w14:paraId="627BD8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浏阳市农村产权交易中心项目一农村产权交易中心办公多媒体采购项目</w:t>
            </w:r>
          </w:p>
        </w:tc>
      </w:tr>
      <w:tr w14:paraId="72AB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1D947FFC">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348" w:type="dxa"/>
            <w:vAlign w:val="center"/>
          </w:tcPr>
          <w:p w14:paraId="06A283F1">
            <w:pPr>
              <w:spacing w:line="7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姓名：</w:t>
            </w:r>
          </w:p>
        </w:tc>
      </w:tr>
      <w:tr w14:paraId="293D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3719B8C4">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5CA60DC6">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5DA2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7CEAAE48">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交货与安装工期</w:t>
            </w:r>
            <w:r>
              <w:rPr>
                <w:rFonts w:hint="eastAsia" w:ascii="宋体" w:hAnsi="宋体" w:eastAsia="宋体" w:cs="宋体"/>
                <w:color w:val="auto"/>
                <w:sz w:val="24"/>
                <w:szCs w:val="24"/>
                <w:highlight w:val="none"/>
              </w:rPr>
              <w:t>承诺</w:t>
            </w:r>
          </w:p>
        </w:tc>
        <w:tc>
          <w:tcPr>
            <w:tcW w:w="7348" w:type="dxa"/>
            <w:vAlign w:val="center"/>
          </w:tcPr>
          <w:p w14:paraId="380EF701">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合同签订后35日历天内货到并完成安装调试，达到交付使用标准。</w:t>
            </w:r>
          </w:p>
        </w:tc>
      </w:tr>
      <w:tr w14:paraId="2AA5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41993C5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质量要求承诺</w:t>
            </w:r>
          </w:p>
        </w:tc>
        <w:tc>
          <w:tcPr>
            <w:tcW w:w="7348" w:type="dxa"/>
            <w:vAlign w:val="center"/>
          </w:tcPr>
          <w:p w14:paraId="2E7EDBC2">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14:paraId="5300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733BFD2E">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74458234">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rtl w:val="0"/>
                <w:lang w:val="zh-CN" w:eastAsia="zh-CN"/>
              </w:rPr>
              <w:t>验收合格之日起</w:t>
            </w:r>
            <w:r>
              <w:rPr>
                <w:rFonts w:hint="eastAsia" w:ascii="宋体" w:hAnsi="宋体" w:eastAsia="宋体" w:cs="宋体"/>
                <w:color w:val="auto"/>
                <w:sz w:val="24"/>
                <w:szCs w:val="24"/>
                <w:highlight w:val="none"/>
                <w:rtl w:val="0"/>
                <w:lang w:val="en-US" w:eastAsia="zh-CN"/>
              </w:rPr>
              <w:t>24个月</w:t>
            </w:r>
            <w:r>
              <w:rPr>
                <w:rFonts w:hint="eastAsia" w:ascii="宋体" w:hAnsi="宋体" w:eastAsia="宋体" w:cs="宋体"/>
                <w:color w:val="auto"/>
                <w:sz w:val="24"/>
                <w:szCs w:val="24"/>
                <w:highlight w:val="none"/>
                <w:rtl w:val="0"/>
                <w:lang w:val="zh-CN" w:eastAsia="zh-CN"/>
              </w:rPr>
              <w:t>。</w:t>
            </w:r>
          </w:p>
        </w:tc>
      </w:tr>
      <w:tr w14:paraId="23EF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79E89175">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p w14:paraId="54095357">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承诺</w:t>
            </w:r>
          </w:p>
        </w:tc>
        <w:tc>
          <w:tcPr>
            <w:tcW w:w="7348" w:type="dxa"/>
            <w:vAlign w:val="center"/>
          </w:tcPr>
          <w:p w14:paraId="18850A3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1、全部货物完成交货安装调试后进行预验收，预验收合格后试运行三个月，运行稳定后进行正式验收，正式验收合格后付满合同金额的 60%；乙方报审结算，经甲方审计后支付至合同结算金额的97%。</w:t>
            </w:r>
          </w:p>
          <w:p w14:paraId="30400CF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tc>
      </w:tr>
      <w:tr w14:paraId="663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42A15170">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221AEBBF">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734FFE2F">
      <w:pPr>
        <w:spacing w:line="400" w:lineRule="exact"/>
        <w:jc w:val="center"/>
        <w:rPr>
          <w:rFonts w:hint="eastAsia" w:ascii="宋体" w:hAnsi="宋体" w:eastAsia="宋体" w:cs="宋体"/>
          <w:color w:val="auto"/>
          <w:sz w:val="24"/>
          <w:szCs w:val="24"/>
          <w:highlight w:val="none"/>
          <w:lang w:val="sq-AL" w:eastAsia="zh-CN"/>
        </w:rPr>
      </w:pPr>
    </w:p>
    <w:p w14:paraId="6ED4BA3E">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39907CC5">
      <w:pPr>
        <w:spacing w:line="400" w:lineRule="exact"/>
        <w:jc w:val="center"/>
        <w:rPr>
          <w:rFonts w:hint="eastAsia" w:ascii="宋体" w:hAnsi="宋体" w:eastAsia="宋体" w:cs="宋体"/>
          <w:color w:val="auto"/>
          <w:sz w:val="24"/>
          <w:szCs w:val="24"/>
          <w:highlight w:val="none"/>
          <w:lang w:val="sq-AL"/>
        </w:rPr>
      </w:pPr>
    </w:p>
    <w:p w14:paraId="445AF986">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3BA54342">
      <w:pPr>
        <w:spacing w:line="400" w:lineRule="exact"/>
        <w:jc w:val="right"/>
        <w:rPr>
          <w:rFonts w:hint="eastAsia"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4B48CEA9">
      <w:pPr>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74775D12">
      <w:pPr>
        <w:adjustRightInd w:val="0"/>
        <w:snapToGrid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68A21685">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3F432C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4F2494F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42CDF26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2BCEB59">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0B02C49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14:paraId="55126BF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357B0FA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22AA65F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655FC59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696237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7C1325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80F99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55B4EE1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CE755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3486F0E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5A0423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88712A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B5F56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CBE73E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3C63C15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0C3EA7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BCD8F5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025F3BE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2B985B0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171234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4F56EF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955C8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655D877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E4827D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3DACD0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3FC165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6149F8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C0CD45">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5D6B04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29FB47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A36E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4A9C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1DEFA6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6CB22C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E930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54D6D8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69C7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4E225C1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6465958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4A3BBA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D3D02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CEF50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526C55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34D372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7049F8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D7EA3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A4258C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3BBC957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056639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71A123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E6C008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FBFAB4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D4579B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4FFD0BD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3F9E803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3129DE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45DBA7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7999FD8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7194C7F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9013E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0852F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A4CCF8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F2D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FC9F84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104AD4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6140556C">
      <w:pPr>
        <w:spacing w:line="360" w:lineRule="exact"/>
        <w:ind w:firstLine="241" w:firstLineChars="100"/>
        <w:rPr>
          <w:rFonts w:hint="eastAsia" w:ascii="宋体" w:hAnsi="宋体" w:eastAsia="宋体" w:cs="宋体"/>
          <w:b/>
          <w:color w:val="auto"/>
          <w:sz w:val="24"/>
          <w:szCs w:val="24"/>
          <w:highlight w:val="none"/>
        </w:rPr>
      </w:pPr>
    </w:p>
    <w:p w14:paraId="7C68FD21">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523C206">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1B02DA6B">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16238C42">
      <w:pPr>
        <w:adjustRightInd w:val="0"/>
        <w:snapToGrid w:val="0"/>
        <w:spacing w:line="360" w:lineRule="auto"/>
        <w:jc w:val="center"/>
        <w:rPr>
          <w:rFonts w:hint="eastAsia" w:ascii="宋体" w:hAnsi="宋体" w:eastAsia="宋体" w:cs="宋体"/>
          <w:b/>
          <w:color w:val="auto"/>
          <w:sz w:val="32"/>
          <w:szCs w:val="32"/>
          <w:highlight w:val="none"/>
        </w:rPr>
      </w:pPr>
    </w:p>
    <w:p w14:paraId="14F74101">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743B8328">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宋体" w:hAnsi="宋体" w:eastAsia="宋体" w:cs="宋体"/>
          <w:b/>
          <w:color w:val="auto"/>
          <w:sz w:val="30"/>
          <w:szCs w:val="30"/>
          <w:highlight w:val="none"/>
        </w:rPr>
        <w:t>服务说明</w:t>
      </w:r>
    </w:p>
    <w:p w14:paraId="106C40BF">
      <w:pPr>
        <w:adjustRightInd w:val="0"/>
        <w:snapToGrid w:val="0"/>
        <w:ind w:left="-88" w:leftChars="-42" w:firstLine="281" w:firstLineChars="100"/>
        <w:jc w:val="center"/>
        <w:rPr>
          <w:rFonts w:hint="eastAsia" w:ascii="宋体" w:hAnsi="宋体" w:eastAsia="宋体" w:cs="宋体"/>
          <w:b/>
          <w:bCs/>
          <w:color w:val="auto"/>
          <w:sz w:val="28"/>
          <w:szCs w:val="28"/>
          <w:highlight w:val="none"/>
        </w:rPr>
      </w:pPr>
    </w:p>
    <w:p w14:paraId="4F56591F">
      <w:pPr>
        <w:adjustRightInd w:val="0"/>
        <w:snapToGrid w:val="0"/>
        <w:ind w:left="-88" w:leftChars="-42" w:firstLine="210" w:firstLineChars="100"/>
        <w:rPr>
          <w:rFonts w:hint="eastAsia" w:ascii="宋体" w:hAnsi="宋体" w:eastAsia="宋体" w:cs="宋体"/>
          <w:bCs/>
          <w:color w:val="auto"/>
          <w:sz w:val="21"/>
          <w:szCs w:val="21"/>
          <w:highlight w:val="none"/>
        </w:rPr>
      </w:pPr>
    </w:p>
    <w:p w14:paraId="0FE9D39E">
      <w:pPr>
        <w:adjustRightInd w:val="0"/>
        <w:snapToGrid w:val="0"/>
        <w:ind w:left="-88" w:leftChars="-42" w:firstLine="210" w:firstLineChars="100"/>
        <w:rPr>
          <w:rFonts w:hint="eastAsia" w:ascii="宋体" w:hAnsi="宋体" w:eastAsia="宋体" w:cs="宋体"/>
          <w:color w:val="auto"/>
          <w:sz w:val="21"/>
          <w:szCs w:val="21"/>
          <w:highlight w:val="none"/>
        </w:rPr>
      </w:pPr>
    </w:p>
    <w:p w14:paraId="015AAD15">
      <w:pPr>
        <w:adjustRightInd w:val="0"/>
        <w:snapToGrid w:val="0"/>
        <w:ind w:left="-88" w:leftChars="-42"/>
        <w:outlineLvl w:val="0"/>
        <w:rPr>
          <w:rFonts w:hint="eastAsia" w:ascii="宋体" w:hAnsi="宋体" w:eastAsia="宋体" w:cs="宋体"/>
          <w:bCs/>
          <w:color w:val="auto"/>
          <w:sz w:val="24"/>
          <w:szCs w:val="24"/>
          <w:highlight w:val="none"/>
        </w:rPr>
      </w:pPr>
    </w:p>
    <w:p w14:paraId="4618D72E">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3D664933">
      <w:pPr>
        <w:adjustRightInd w:val="0"/>
        <w:snapToGrid w:val="0"/>
        <w:rPr>
          <w:rFonts w:hint="eastAsia" w:ascii="宋体" w:hAnsi="宋体" w:eastAsia="宋体" w:cs="宋体"/>
          <w:color w:val="auto"/>
          <w:sz w:val="24"/>
          <w:szCs w:val="24"/>
          <w:highlight w:val="none"/>
        </w:rPr>
      </w:pPr>
    </w:p>
    <w:p w14:paraId="01B054DA">
      <w:pPr>
        <w:adjustRightInd w:val="0"/>
        <w:snapToGrid w:val="0"/>
        <w:rPr>
          <w:rFonts w:hint="eastAsia" w:ascii="宋体" w:hAnsi="宋体" w:eastAsia="宋体" w:cs="宋体"/>
          <w:color w:val="auto"/>
          <w:sz w:val="24"/>
          <w:szCs w:val="24"/>
          <w:highlight w:val="none"/>
        </w:rPr>
      </w:pPr>
    </w:p>
    <w:p w14:paraId="5093E0E1">
      <w:pPr>
        <w:adjustRightInd w:val="0"/>
        <w:snapToGrid w:val="0"/>
        <w:rPr>
          <w:rFonts w:hint="eastAsia" w:ascii="宋体" w:hAnsi="宋体" w:eastAsia="宋体" w:cs="宋体"/>
          <w:color w:val="auto"/>
          <w:sz w:val="24"/>
          <w:szCs w:val="24"/>
          <w:highlight w:val="none"/>
        </w:rPr>
      </w:pPr>
    </w:p>
    <w:p w14:paraId="31618EB8">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0543369B">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79116CE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日 期 ：  年  月  日</w:t>
      </w:r>
    </w:p>
    <w:p w14:paraId="35A976B9">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br w:type="page"/>
      </w:r>
    </w:p>
    <w:p w14:paraId="071CA8E4">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47F7A21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5C6E300B">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1CAB5235">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34251772">
            <w:pPr>
              <w:adjustRightInd w:val="0"/>
              <w:snapToGrid w:val="0"/>
              <w:ind w:left="-88" w:leftChars="-42" w:right="-94" w:rightChars="-4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2BE8FA5E">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17DB3824">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21966437">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5E2BDF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8072965">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471A98C">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130C809">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71CB16B">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C63AD3">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5CFF728">
            <w:pPr>
              <w:adjustRightInd w:val="0"/>
              <w:snapToGrid w:val="0"/>
              <w:ind w:left="-88" w:leftChars="-42"/>
              <w:jc w:val="center"/>
              <w:rPr>
                <w:rFonts w:hint="eastAsia" w:ascii="宋体" w:hAnsi="宋体" w:eastAsia="宋体" w:cs="宋体"/>
                <w:color w:val="auto"/>
                <w:sz w:val="24"/>
                <w:szCs w:val="24"/>
                <w:highlight w:val="none"/>
              </w:rPr>
            </w:pPr>
          </w:p>
        </w:tc>
      </w:tr>
      <w:tr w14:paraId="5F01C3E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4E49508">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7A2BC38">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03A3F68">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F753EDC">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007BD57">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F840577">
            <w:pPr>
              <w:adjustRightInd w:val="0"/>
              <w:snapToGrid w:val="0"/>
              <w:ind w:left="-88" w:leftChars="-42"/>
              <w:jc w:val="center"/>
              <w:rPr>
                <w:rFonts w:hint="eastAsia" w:ascii="宋体" w:hAnsi="宋体" w:eastAsia="宋体" w:cs="宋体"/>
                <w:color w:val="auto"/>
                <w:sz w:val="24"/>
                <w:szCs w:val="24"/>
                <w:highlight w:val="none"/>
              </w:rPr>
            </w:pPr>
          </w:p>
        </w:tc>
      </w:tr>
      <w:tr w14:paraId="6C58B86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ED7EE0B">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313DF85">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0BC3FE8">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5EF2D6C">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47E6000">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84A219C">
            <w:pPr>
              <w:adjustRightInd w:val="0"/>
              <w:snapToGrid w:val="0"/>
              <w:ind w:left="-88" w:leftChars="-42"/>
              <w:jc w:val="center"/>
              <w:rPr>
                <w:rFonts w:hint="eastAsia" w:ascii="宋体" w:hAnsi="宋体" w:eastAsia="宋体" w:cs="宋体"/>
                <w:color w:val="auto"/>
                <w:sz w:val="24"/>
                <w:szCs w:val="24"/>
                <w:highlight w:val="none"/>
              </w:rPr>
            </w:pPr>
          </w:p>
        </w:tc>
      </w:tr>
      <w:tr w14:paraId="20DAB4D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81ED4A8">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6AC1032">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057C290">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C1F92A2">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7540BAB">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48F1719">
            <w:pPr>
              <w:adjustRightInd w:val="0"/>
              <w:snapToGrid w:val="0"/>
              <w:ind w:left="-88" w:leftChars="-42"/>
              <w:jc w:val="center"/>
              <w:rPr>
                <w:rFonts w:hint="eastAsia" w:ascii="宋体" w:hAnsi="宋体" w:eastAsia="宋体" w:cs="宋体"/>
                <w:color w:val="auto"/>
                <w:sz w:val="24"/>
                <w:szCs w:val="24"/>
                <w:highlight w:val="none"/>
              </w:rPr>
            </w:pPr>
          </w:p>
        </w:tc>
      </w:tr>
      <w:tr w14:paraId="588C16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46AB65E">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A1C1ADF">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A5845DF">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4FC4F73D">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BD57CE3">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2322BBA">
            <w:pPr>
              <w:adjustRightInd w:val="0"/>
              <w:snapToGrid w:val="0"/>
              <w:ind w:left="-88" w:leftChars="-42"/>
              <w:jc w:val="center"/>
              <w:rPr>
                <w:rFonts w:hint="eastAsia" w:ascii="宋体" w:hAnsi="宋体" w:eastAsia="宋体" w:cs="宋体"/>
                <w:color w:val="auto"/>
                <w:sz w:val="24"/>
                <w:szCs w:val="24"/>
                <w:highlight w:val="none"/>
              </w:rPr>
            </w:pPr>
          </w:p>
        </w:tc>
      </w:tr>
      <w:tr w14:paraId="65C97C8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6C549AA7">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7AD9486F">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0024D2C9">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53ED5A2D">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324ADF12">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0C6E3404">
            <w:pPr>
              <w:adjustRightInd w:val="0"/>
              <w:snapToGrid w:val="0"/>
              <w:ind w:left="-88" w:leftChars="-42"/>
              <w:jc w:val="center"/>
              <w:rPr>
                <w:rFonts w:hint="eastAsia" w:ascii="宋体" w:hAnsi="宋体" w:eastAsia="宋体" w:cs="宋体"/>
                <w:color w:val="auto"/>
                <w:sz w:val="24"/>
                <w:szCs w:val="24"/>
                <w:highlight w:val="none"/>
              </w:rPr>
            </w:pPr>
          </w:p>
        </w:tc>
      </w:tr>
    </w:tbl>
    <w:p w14:paraId="44598241">
      <w:pPr>
        <w:rPr>
          <w:rFonts w:hint="eastAsia" w:ascii="宋体" w:hAnsi="宋体" w:eastAsia="宋体" w:cs="宋体"/>
          <w:color w:val="auto"/>
          <w:sz w:val="24"/>
          <w:szCs w:val="24"/>
          <w:highlight w:val="none"/>
        </w:rPr>
      </w:pPr>
    </w:p>
    <w:p w14:paraId="51CD6AF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注：如无偏离，则必须注明无偏离。</w:t>
      </w:r>
    </w:p>
    <w:p w14:paraId="4B4BC436">
      <w:pPr>
        <w:adjustRightInd w:val="0"/>
        <w:snapToGrid w:val="0"/>
        <w:ind w:left="-88" w:leftChars="-42"/>
        <w:rPr>
          <w:rFonts w:hint="eastAsia" w:ascii="宋体" w:hAnsi="宋体" w:eastAsia="宋体" w:cs="宋体"/>
          <w:color w:val="auto"/>
          <w:sz w:val="24"/>
          <w:szCs w:val="24"/>
          <w:highlight w:val="none"/>
        </w:rPr>
      </w:pPr>
    </w:p>
    <w:p w14:paraId="0F1F521B">
      <w:pPr>
        <w:adjustRightInd w:val="0"/>
        <w:snapToGrid w:val="0"/>
        <w:ind w:left="-88" w:leftChars="-42"/>
        <w:rPr>
          <w:rFonts w:hint="eastAsia" w:ascii="宋体" w:hAnsi="宋体" w:eastAsia="宋体" w:cs="宋体"/>
          <w:color w:val="auto"/>
          <w:sz w:val="24"/>
          <w:szCs w:val="24"/>
          <w:highlight w:val="none"/>
        </w:rPr>
      </w:pPr>
    </w:p>
    <w:p w14:paraId="364CACD4">
      <w:pPr>
        <w:adjustRightInd w:val="0"/>
        <w:snapToGrid w:val="0"/>
        <w:ind w:left="-88" w:leftChars="-42"/>
        <w:rPr>
          <w:rFonts w:hint="eastAsia" w:ascii="宋体" w:hAnsi="宋体" w:eastAsia="宋体" w:cs="宋体"/>
          <w:color w:val="auto"/>
          <w:sz w:val="24"/>
          <w:szCs w:val="24"/>
          <w:highlight w:val="none"/>
        </w:rPr>
      </w:pPr>
    </w:p>
    <w:p w14:paraId="4BA87FBC">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14:paraId="2FB053B6">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14:paraId="3C28440B">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244B8EE4">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41EEAEBF">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4D6FC356">
      <w:pPr>
        <w:adjustRightInd w:val="0"/>
        <w:snapToGri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61BDC0">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7D93E01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059456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664292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68ED4D5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6B94EEA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6CDED6B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65E03C5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3E80B9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32D5CEF">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91710C1">
      <w:pPr>
        <w:spacing w:line="400" w:lineRule="exact"/>
        <w:jc w:val="right"/>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2C125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noWrap w:val="0"/>
            <w:vAlign w:val="center"/>
          </w:tcPr>
          <w:p w14:paraId="544A77C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17E4953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13B43B80">
      <w:pPr>
        <w:spacing w:line="400" w:lineRule="exact"/>
        <w:jc w:val="right"/>
        <w:rPr>
          <w:rFonts w:hint="eastAsia" w:ascii="宋体" w:hAnsi="宋体" w:eastAsia="宋体" w:cs="宋体"/>
          <w:color w:val="auto"/>
          <w:sz w:val="24"/>
          <w:highlight w:val="none"/>
        </w:rPr>
      </w:pPr>
    </w:p>
    <w:p w14:paraId="56BC795D">
      <w:pPr>
        <w:spacing w:line="400" w:lineRule="exact"/>
        <w:jc w:val="right"/>
        <w:rPr>
          <w:rFonts w:hint="eastAsia" w:ascii="宋体" w:hAnsi="宋体" w:eastAsia="宋体" w:cs="宋体"/>
          <w:color w:val="auto"/>
          <w:sz w:val="24"/>
          <w:highlight w:val="none"/>
        </w:rPr>
      </w:pPr>
    </w:p>
    <w:p w14:paraId="32B67976">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2E2C54AE">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309C9E7B">
      <w:pPr>
        <w:spacing w:line="400" w:lineRule="exact"/>
        <w:ind w:right="600"/>
        <w:rPr>
          <w:rFonts w:hint="eastAsia" w:ascii="宋体" w:hAnsi="宋体" w:eastAsia="宋体" w:cs="宋体"/>
          <w:b/>
          <w:color w:val="auto"/>
          <w:sz w:val="24"/>
          <w:highlight w:val="none"/>
        </w:rPr>
      </w:pPr>
    </w:p>
    <w:p w14:paraId="0D2737E2">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8" w:name="_Toc235592960"/>
      <w:bookmarkStart w:id="9" w:name="_Toc281562938"/>
      <w:bookmarkStart w:id="10" w:name="_Toc193115823"/>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0FAABFFA">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518524C8">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49D6CBE8">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8"/>
      <w:bookmarkEnd w:id="9"/>
      <w:bookmarkEnd w:id="10"/>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280B705C">
      <w:pPr>
        <w:spacing w:line="400" w:lineRule="exact"/>
        <w:rPr>
          <w:rFonts w:hint="eastAsia" w:ascii="宋体" w:hAnsi="宋体" w:eastAsia="宋体" w:cs="宋体"/>
          <w:color w:val="auto"/>
          <w:sz w:val="32"/>
          <w:szCs w:val="21"/>
          <w:highlight w:val="none"/>
        </w:rPr>
      </w:pPr>
    </w:p>
    <w:p w14:paraId="5BA25E0D">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024D9F4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8F443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749EB36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1E4ECD51">
      <w:pPr>
        <w:spacing w:line="240" w:lineRule="exact"/>
        <w:ind w:firstLine="480" w:firstLineChars="200"/>
        <w:rPr>
          <w:rFonts w:hint="eastAsia" w:ascii="宋体" w:hAnsi="宋体" w:eastAsia="宋体" w:cs="宋体"/>
          <w:color w:val="auto"/>
          <w:sz w:val="24"/>
          <w:highlight w:val="none"/>
        </w:rPr>
      </w:pPr>
    </w:p>
    <w:p w14:paraId="6D605583">
      <w:pPr>
        <w:spacing w:line="240" w:lineRule="exact"/>
        <w:ind w:firstLine="480" w:firstLineChars="200"/>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17AF5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0C19002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7CC230A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69A41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0557A57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7364643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0B96FBC7">
      <w:pPr>
        <w:spacing w:line="240" w:lineRule="exact"/>
        <w:rPr>
          <w:rFonts w:hint="eastAsia" w:ascii="宋体" w:hAnsi="宋体" w:eastAsia="宋体" w:cs="宋体"/>
          <w:color w:val="auto"/>
          <w:sz w:val="28"/>
          <w:szCs w:val="28"/>
          <w:highlight w:val="none"/>
        </w:rPr>
      </w:pPr>
    </w:p>
    <w:p w14:paraId="5260BDFF">
      <w:pPr>
        <w:keepNext w:val="0"/>
        <w:keepLines w:val="0"/>
        <w:pageBreakBefore w:val="0"/>
        <w:widowControl w:val="0"/>
        <w:kinsoku/>
        <w:wordWrap/>
        <w:overflowPunct/>
        <w:topLinePunct w:val="0"/>
        <w:autoSpaceDE/>
        <w:autoSpaceDN/>
        <w:bidi w:val="0"/>
        <w:adjustRightInd/>
        <w:snapToGrid/>
        <w:spacing w:line="240" w:lineRule="exact"/>
        <w:ind w:right="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668EF973">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4DD139FC">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3F8D2218">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3F6E16B7">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56BFD8E8">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7152494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227E8A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bookmarkStart w:id="11" w:name="_GoBack"/>
      <w:bookmarkEnd w:id="11"/>
    </w:p>
    <w:p w14:paraId="4ECF1A39">
      <w:pPr>
        <w:widowControl w:val="0"/>
        <w:ind w:firstLine="640" w:firstLineChars="200"/>
        <w:jc w:val="both"/>
        <w:rPr>
          <w:rFonts w:hint="eastAsia" w:ascii="宋体" w:hAnsi="宋体" w:eastAsia="宋体" w:cs="宋体"/>
          <w:color w:val="auto"/>
          <w:kern w:val="2"/>
          <w:sz w:val="32"/>
          <w:szCs w:val="24"/>
          <w:highlight w:val="none"/>
          <w:lang w:val="en-US" w:eastAsia="zh-CN" w:bidi="ar-SA"/>
        </w:rPr>
      </w:pPr>
    </w:p>
    <w:p w14:paraId="332F57A2">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66FB8377">
      <w:pPr>
        <w:widowControl w:val="0"/>
        <w:spacing w:after="120"/>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87B9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48F243F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CF59550">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4B829AC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BC58871">
            <w:pPr>
              <w:shd w:val="clear"/>
              <w:topLinePunct/>
              <w:spacing w:line="440" w:lineRule="exact"/>
              <w:jc w:val="center"/>
              <w:rPr>
                <w:rFonts w:hint="eastAsia" w:ascii="宋体" w:hAnsi="宋体" w:eastAsia="宋体" w:cs="宋体"/>
                <w:color w:val="auto"/>
                <w:sz w:val="24"/>
                <w:szCs w:val="24"/>
                <w:highlight w:val="none"/>
              </w:rPr>
            </w:pPr>
          </w:p>
        </w:tc>
      </w:tr>
      <w:tr w14:paraId="59024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7E687F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16ED04F">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446B8A3">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8645DB8">
            <w:pPr>
              <w:shd w:val="clear"/>
              <w:topLinePunct/>
              <w:spacing w:line="440" w:lineRule="exact"/>
              <w:jc w:val="center"/>
              <w:rPr>
                <w:rFonts w:hint="eastAsia" w:ascii="宋体" w:hAnsi="宋体" w:eastAsia="宋体" w:cs="宋体"/>
                <w:color w:val="auto"/>
                <w:sz w:val="24"/>
                <w:szCs w:val="24"/>
                <w:highlight w:val="none"/>
              </w:rPr>
            </w:pPr>
          </w:p>
        </w:tc>
      </w:tr>
      <w:tr w14:paraId="04C9B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98A668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6970B9E">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1F8179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8320EB7">
            <w:pPr>
              <w:shd w:val="clear"/>
              <w:topLinePunct/>
              <w:spacing w:line="440" w:lineRule="exact"/>
              <w:jc w:val="center"/>
              <w:rPr>
                <w:rFonts w:hint="eastAsia" w:ascii="宋体" w:hAnsi="宋体" w:eastAsia="宋体" w:cs="宋体"/>
                <w:color w:val="auto"/>
                <w:sz w:val="24"/>
                <w:szCs w:val="24"/>
                <w:highlight w:val="none"/>
              </w:rPr>
            </w:pPr>
          </w:p>
        </w:tc>
      </w:tr>
      <w:tr w14:paraId="546D3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0BBA9E2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E2448FA">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291A08B">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0E6BF06">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1389047">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67F8A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F187BD0">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3759FF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C9006F5">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59F5BAD">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22618CC6">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43D9E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273BD64">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249AD99">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E77AECD">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BD5A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98715F1">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699231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5C9B0D4">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3102A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58F2C1E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FF56285">
            <w:pPr>
              <w:shd w:val="clear"/>
              <w:topLinePunct/>
              <w:spacing w:line="440" w:lineRule="exact"/>
              <w:jc w:val="center"/>
              <w:rPr>
                <w:rFonts w:hint="eastAsia" w:ascii="宋体" w:hAnsi="宋体" w:eastAsia="宋体" w:cs="宋体"/>
                <w:color w:val="auto"/>
                <w:sz w:val="24"/>
                <w:szCs w:val="24"/>
                <w:highlight w:val="none"/>
              </w:rPr>
            </w:pPr>
          </w:p>
        </w:tc>
      </w:tr>
      <w:tr w14:paraId="7A0AB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0C7F371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988233C">
            <w:pPr>
              <w:shd w:val="clear"/>
              <w:topLinePunct/>
              <w:spacing w:line="440" w:lineRule="exact"/>
              <w:jc w:val="center"/>
              <w:rPr>
                <w:rFonts w:hint="eastAsia" w:ascii="宋体" w:hAnsi="宋体" w:eastAsia="宋体" w:cs="宋体"/>
                <w:color w:val="auto"/>
                <w:sz w:val="24"/>
                <w:szCs w:val="24"/>
                <w:highlight w:val="none"/>
              </w:rPr>
            </w:pPr>
          </w:p>
        </w:tc>
      </w:tr>
      <w:tr w14:paraId="5C8FC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ADCCE6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F4CB08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11FC8E5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5B31F49">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69436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7B91D0E">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B313AB8">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63835E6">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2709D26">
            <w:pPr>
              <w:shd w:val="clear"/>
              <w:topLinePunct/>
              <w:spacing w:line="440" w:lineRule="exact"/>
              <w:jc w:val="center"/>
              <w:rPr>
                <w:rFonts w:hint="eastAsia" w:ascii="宋体" w:hAnsi="宋体" w:eastAsia="宋体" w:cs="宋体"/>
                <w:color w:val="auto"/>
                <w:sz w:val="24"/>
                <w:szCs w:val="24"/>
                <w:highlight w:val="none"/>
              </w:rPr>
            </w:pPr>
          </w:p>
        </w:tc>
      </w:tr>
      <w:tr w14:paraId="38F47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552A8B5">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F387A7">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B522494">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D1574">
            <w:pPr>
              <w:shd w:val="clear"/>
              <w:topLinePunct/>
              <w:spacing w:line="440" w:lineRule="exact"/>
              <w:jc w:val="center"/>
              <w:rPr>
                <w:rFonts w:hint="eastAsia" w:ascii="宋体" w:hAnsi="宋体" w:eastAsia="宋体" w:cs="宋体"/>
                <w:color w:val="auto"/>
                <w:sz w:val="24"/>
                <w:szCs w:val="24"/>
                <w:highlight w:val="none"/>
              </w:rPr>
            </w:pPr>
          </w:p>
        </w:tc>
      </w:tr>
    </w:tbl>
    <w:p w14:paraId="41A130F5">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175B576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14:paraId="5FB19B69">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339479D6">
      <w:pPr>
        <w:spacing w:line="480" w:lineRule="exact"/>
        <w:rPr>
          <w:rFonts w:hint="eastAsia" w:ascii="宋体" w:hAnsi="宋体" w:eastAsia="宋体" w:cs="宋体"/>
          <w:color w:val="auto"/>
          <w:sz w:val="30"/>
          <w:szCs w:val="30"/>
          <w:highlight w:val="none"/>
        </w:rPr>
      </w:pPr>
    </w:p>
    <w:p w14:paraId="49BE278D">
      <w:pPr>
        <w:spacing w:line="480" w:lineRule="exact"/>
        <w:rPr>
          <w:rFonts w:hint="eastAsia" w:ascii="宋体" w:hAnsi="宋体" w:eastAsia="宋体" w:cs="宋体"/>
          <w:color w:val="auto"/>
          <w:sz w:val="30"/>
          <w:szCs w:val="30"/>
          <w:highlight w:val="none"/>
        </w:rPr>
      </w:pPr>
    </w:p>
    <w:p w14:paraId="70ACBDD1">
      <w:pPr>
        <w:spacing w:line="480" w:lineRule="exact"/>
        <w:rPr>
          <w:rFonts w:hint="eastAsia" w:ascii="宋体" w:hAnsi="宋体" w:eastAsia="宋体" w:cs="宋体"/>
          <w:color w:val="auto"/>
          <w:sz w:val="30"/>
          <w:szCs w:val="30"/>
          <w:highlight w:val="none"/>
        </w:rPr>
      </w:pPr>
    </w:p>
    <w:p w14:paraId="50A3704B">
      <w:pPr>
        <w:adjustRightInd w:val="0"/>
        <w:snapToGrid w:val="0"/>
        <w:spacing w:line="360" w:lineRule="auto"/>
        <w:outlineLvl w:val="0"/>
        <w:rPr>
          <w:rFonts w:hint="eastAsia" w:ascii="宋体" w:hAnsi="宋体" w:eastAsia="宋体" w:cs="宋体"/>
          <w:b/>
          <w:color w:val="auto"/>
          <w:sz w:val="24"/>
          <w:szCs w:val="24"/>
          <w:highlight w:val="none"/>
        </w:rPr>
      </w:pPr>
    </w:p>
    <w:p w14:paraId="58D36E9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14:paraId="5D19A26D">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14:paraId="17B5807D">
      <w:pPr>
        <w:rPr>
          <w:rFonts w:hint="eastAsia" w:ascii="宋体" w:hAnsi="宋体" w:eastAsia="宋体" w:cs="宋体"/>
          <w:color w:val="auto"/>
          <w:sz w:val="32"/>
          <w:highlight w:val="none"/>
        </w:rPr>
      </w:pPr>
    </w:p>
    <w:p w14:paraId="3D30AAF4">
      <w:pPr>
        <w:rPr>
          <w:rFonts w:hint="eastAsia" w:ascii="宋体" w:hAnsi="宋体" w:eastAsia="宋体" w:cs="宋体"/>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2F4B3">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371A1D02">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536B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C1DA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14C1DA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1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60B48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3260B48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A0CA">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FCE51">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533D4CB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533D4CB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M2QyOWNlODQ1YTdjYzg5MzQ2Y2U5NzQ4MWJiOWQifQ=="/>
  </w:docVars>
  <w:rsids>
    <w:rsidRoot w:val="6EDB6AE2"/>
    <w:rsid w:val="00425BC0"/>
    <w:rsid w:val="022B1413"/>
    <w:rsid w:val="029F039A"/>
    <w:rsid w:val="03F139E0"/>
    <w:rsid w:val="044B6DCB"/>
    <w:rsid w:val="05066B4B"/>
    <w:rsid w:val="088017D6"/>
    <w:rsid w:val="09095327"/>
    <w:rsid w:val="0C3C77C2"/>
    <w:rsid w:val="0CB437FC"/>
    <w:rsid w:val="0E945864"/>
    <w:rsid w:val="0F3550C8"/>
    <w:rsid w:val="112C593C"/>
    <w:rsid w:val="141348F8"/>
    <w:rsid w:val="14C60571"/>
    <w:rsid w:val="170A0BE8"/>
    <w:rsid w:val="18BC10DA"/>
    <w:rsid w:val="19B874E6"/>
    <w:rsid w:val="1A720AEE"/>
    <w:rsid w:val="1BE16B4B"/>
    <w:rsid w:val="1C6F24E2"/>
    <w:rsid w:val="1C9D605B"/>
    <w:rsid w:val="203171E6"/>
    <w:rsid w:val="211803A6"/>
    <w:rsid w:val="22071DB9"/>
    <w:rsid w:val="23E65186"/>
    <w:rsid w:val="24374FE7"/>
    <w:rsid w:val="243A027A"/>
    <w:rsid w:val="24765B0F"/>
    <w:rsid w:val="24881D2D"/>
    <w:rsid w:val="25F403A5"/>
    <w:rsid w:val="262E1D4D"/>
    <w:rsid w:val="277F5534"/>
    <w:rsid w:val="27842A7A"/>
    <w:rsid w:val="296C2E8C"/>
    <w:rsid w:val="29A5770C"/>
    <w:rsid w:val="2A497953"/>
    <w:rsid w:val="2C6C370D"/>
    <w:rsid w:val="302B327D"/>
    <w:rsid w:val="33095248"/>
    <w:rsid w:val="339613FE"/>
    <w:rsid w:val="35D71366"/>
    <w:rsid w:val="390457DD"/>
    <w:rsid w:val="395835DE"/>
    <w:rsid w:val="3A5835DF"/>
    <w:rsid w:val="3C0D7E40"/>
    <w:rsid w:val="3CC1358A"/>
    <w:rsid w:val="3D934BE4"/>
    <w:rsid w:val="3E8F54E1"/>
    <w:rsid w:val="3ECB78C6"/>
    <w:rsid w:val="3F0F0517"/>
    <w:rsid w:val="42907F08"/>
    <w:rsid w:val="463C33B6"/>
    <w:rsid w:val="476D64A6"/>
    <w:rsid w:val="4CB0382E"/>
    <w:rsid w:val="4D9C7C8B"/>
    <w:rsid w:val="4DB669DA"/>
    <w:rsid w:val="4E5464D1"/>
    <w:rsid w:val="4FC9093A"/>
    <w:rsid w:val="5003644E"/>
    <w:rsid w:val="50546455"/>
    <w:rsid w:val="52BB2633"/>
    <w:rsid w:val="533B2FA2"/>
    <w:rsid w:val="53513D1E"/>
    <w:rsid w:val="56A34824"/>
    <w:rsid w:val="56AB2D7B"/>
    <w:rsid w:val="56F90CEB"/>
    <w:rsid w:val="59701E26"/>
    <w:rsid w:val="5BC00E43"/>
    <w:rsid w:val="5E437E22"/>
    <w:rsid w:val="5EF70A55"/>
    <w:rsid w:val="60EA6464"/>
    <w:rsid w:val="635308ED"/>
    <w:rsid w:val="638E7A78"/>
    <w:rsid w:val="63A7476C"/>
    <w:rsid w:val="65AF4A62"/>
    <w:rsid w:val="65EC10C6"/>
    <w:rsid w:val="665C0351"/>
    <w:rsid w:val="675D77EA"/>
    <w:rsid w:val="68EF2D67"/>
    <w:rsid w:val="69124CA8"/>
    <w:rsid w:val="69C77840"/>
    <w:rsid w:val="6B67752D"/>
    <w:rsid w:val="6E526272"/>
    <w:rsid w:val="6EDB6AE2"/>
    <w:rsid w:val="6F335A1C"/>
    <w:rsid w:val="7002625E"/>
    <w:rsid w:val="70271BB7"/>
    <w:rsid w:val="70BB79D3"/>
    <w:rsid w:val="72C85CEC"/>
    <w:rsid w:val="72DE6B3F"/>
    <w:rsid w:val="731019CA"/>
    <w:rsid w:val="74511EEF"/>
    <w:rsid w:val="75B74C0D"/>
    <w:rsid w:val="79684983"/>
    <w:rsid w:val="799E6DA5"/>
    <w:rsid w:val="7BFE1DCD"/>
    <w:rsid w:val="7C457B4B"/>
    <w:rsid w:val="7C5036C5"/>
    <w:rsid w:val="7FA4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14762</Words>
  <Characters>18045</Characters>
  <Lines>0</Lines>
  <Paragraphs>0</Paragraphs>
  <TotalTime>6</TotalTime>
  <ScaleCrop>false</ScaleCrop>
  <LinksUpToDate>false</LinksUpToDate>
  <CharactersWithSpaces>19570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dcterms:modified xsi:type="dcterms:W3CDTF">2025-03-31T05:08:39Z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094AAAF9018E4063B434E53846F8CF0A_13</vt:lpwstr>
  </property>
</Properties>
</file>