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360" w:lineRule="auto"/>
        <w:jc w:val="center"/>
        <w:rPr>
          <w:rFonts w:ascii="宋体" w:hAnsi="宋体" w:eastAsia="宋体" w:cs="宋体"/>
          <w:b/>
          <w:color w:val="auto"/>
          <w:sz w:val="48"/>
          <w:szCs w:val="48"/>
          <w:highlight w:val="none"/>
        </w:rPr>
      </w:pPr>
    </w:p>
    <w:p>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38"/>
          <w:szCs w:val="38"/>
          <w:highlight w:val="none"/>
          <w:lang w:eastAsia="zh-CN"/>
        </w:rPr>
        <w:t>浏阳市湘赣边秋收起义研学营地配套项目--中央空调、空气能采购（第二次）</w:t>
      </w: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ascii="宋体" w:hAnsi="宋体" w:eastAsia="宋体" w:cs="宋体"/>
          <w:b/>
          <w:color w:val="auto"/>
          <w:sz w:val="28"/>
          <w:szCs w:val="28"/>
          <w:highlight w:val="none"/>
        </w:rPr>
      </w:pPr>
    </w:p>
    <w:p>
      <w:pPr>
        <w:overflowPunct w:val="0"/>
        <w:jc w:val="center"/>
        <w:rPr>
          <w:rFonts w:ascii="宋体" w:hAnsi="宋体" w:eastAsia="宋体" w:cs="宋体"/>
          <w:color w:val="auto"/>
          <w:sz w:val="44"/>
          <w:szCs w:val="44"/>
          <w:highlight w:val="none"/>
        </w:rPr>
      </w:pPr>
    </w:p>
    <w:p>
      <w:pPr>
        <w:overflowPunct w:val="0"/>
        <w:jc w:val="center"/>
        <w:rPr>
          <w:rFonts w:ascii="宋体" w:hAnsi="宋体" w:eastAsia="宋体" w:cs="宋体"/>
          <w:color w:val="auto"/>
          <w:sz w:val="44"/>
          <w:szCs w:val="44"/>
          <w:highlight w:val="none"/>
        </w:rPr>
      </w:pPr>
    </w:p>
    <w:p>
      <w:pPr>
        <w:overflowPunct w:val="0"/>
        <w:ind w:firstLine="420"/>
        <w:rPr>
          <w:rFonts w:ascii="宋体" w:hAnsi="宋体" w:eastAsia="宋体" w:cs="宋体"/>
          <w:color w:val="auto"/>
          <w:sz w:val="32"/>
          <w:highlight w:val="none"/>
        </w:rPr>
      </w:pPr>
    </w:p>
    <w:p>
      <w:pPr>
        <w:overflowPunct w:val="0"/>
        <w:rPr>
          <w:rFonts w:ascii="宋体" w:hAnsi="宋体" w:eastAsia="宋体" w:cs="宋体"/>
          <w:color w:val="auto"/>
          <w:sz w:val="32"/>
          <w:highlight w:val="none"/>
        </w:rPr>
      </w:pPr>
    </w:p>
    <w:p>
      <w:pPr>
        <w:overflowPunct w:val="0"/>
        <w:spacing w:line="1100" w:lineRule="exact"/>
        <w:ind w:firstLine="1606" w:firstLineChars="5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人：浏阳市文化旅游产业发展有限责任公司</w:t>
      </w:r>
    </w:p>
    <w:p>
      <w:pPr>
        <w:overflowPunct w:val="0"/>
        <w:spacing w:line="360" w:lineRule="auto"/>
        <w:ind w:firstLine="1606" w:firstLineChars="5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一</w:t>
      </w:r>
      <w:r>
        <w:rPr>
          <w:rFonts w:hint="eastAsia" w:ascii="宋体" w:hAnsi="宋体" w:eastAsia="宋体" w:cs="宋体"/>
          <w:b/>
          <w:bCs/>
          <w:color w:val="auto"/>
          <w:sz w:val="32"/>
          <w:szCs w:val="32"/>
          <w:highlight w:val="none"/>
        </w:rPr>
        <w:t>月</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lang w:eastAsia="zh-CN"/>
        </w:rPr>
        <w:t>浏阳市湘赣边秋收起义研学营地配套项目--中央空调、空气能采购（第二次）</w:t>
      </w:r>
      <w:r>
        <w:rPr>
          <w:rFonts w:hint="eastAsia" w:ascii="宋体" w:hAnsi="宋体" w:eastAsia="宋体" w:cs="宋体"/>
          <w:b/>
          <w:sz w:val="32"/>
          <w:szCs w:val="32"/>
        </w:rPr>
        <w:t>招标公告</w:t>
      </w:r>
    </w:p>
    <w:p>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浏阳市湘赣边秋收起义研学营地配套项目--中央空调、空气能采购（第二次）</w:t>
      </w:r>
    </w:p>
    <w:p>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243147.82</w:t>
      </w:r>
      <w:r>
        <w:rPr>
          <w:rFonts w:hint="eastAsia" w:ascii="宋体" w:hAnsi="宋体" w:eastAsia="宋体" w:cs="宋体"/>
          <w:color w:val="auto"/>
          <w:sz w:val="24"/>
          <w:highlight w:val="none"/>
        </w:rPr>
        <w:t>元（总价和单价均不得超采购清单价，否则作否决投标处理）。</w:t>
      </w:r>
    </w:p>
    <w:p>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2.2采购内容：</w:t>
      </w:r>
      <w:bookmarkEnd w:id="1"/>
      <w:r>
        <w:rPr>
          <w:rFonts w:hint="eastAsia" w:ascii="宋体" w:hAnsi="宋体" w:eastAsia="宋体" w:cs="宋体"/>
          <w:color w:val="auto"/>
          <w:sz w:val="24"/>
          <w:highlight w:val="none"/>
        </w:rPr>
        <w:t>项目位于文家市，包含中央空调、空气能等采购，详见采购清单。</w:t>
      </w:r>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（2）依法缴纳税收的证明材料：提供下列材料之一：</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税务登记证》复印件，或近三个月内任意一个月依法缴纳税收的证明(纳税凭证复印件)，或委托他人缴纳的委托代办协议和近三个月内任意一个月的缴纳证明(收据复印件)，或法定征收机关出具的依法免缴税收的证明原件；</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（3）法人提交法定代表人身份证明原件或者法定代表人授权委托书原件及被授权人在投标人近三个月内任意一个月的社保证明并附法定代表人身份证明原件；</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（4）其他说明：</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①前文所称“近三个月”特指2025年10月至2025年12月。</w:t>
      </w:r>
    </w:p>
    <w:p>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②投标人具有实行了“三证合一”登记制度改革的新证，视同为持有工商营业执照、组织机构代码证和税务登记证，符合基本资格条件的相关条款。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10:00</w:t>
      </w:r>
      <w:r>
        <w:rPr>
          <w:rFonts w:hint="eastAsia" w:ascii="宋体" w:hAnsi="宋体" w:eastAsia="宋体" w:cs="宋体"/>
          <w:color w:val="auto"/>
          <w:sz w:val="24"/>
          <w:highlight w:val="none"/>
          <w:u w:val="single"/>
        </w:rPr>
        <w:t>（北京时间）</w:t>
      </w:r>
    </w:p>
    <w:p>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10:00</w:t>
      </w:r>
      <w:r>
        <w:rPr>
          <w:rFonts w:hint="eastAsia" w:ascii="宋体" w:hAnsi="宋体" w:eastAsia="宋体" w:cs="宋体"/>
          <w:color w:val="auto"/>
          <w:sz w:val="24"/>
          <w:highlight w:val="none"/>
          <w:u w:val="single"/>
        </w:rPr>
        <w:t>（北京时间）</w:t>
      </w:r>
    </w:p>
    <w:p>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招标澄清公告在浏阳市城乡发展集团有限责任公司官网（http://www.liufajituan.com/）发布，投标人自行在上述网站下载，敬请关注，恕不另行通知，如有遗漏，招标人概不负责。</w:t>
      </w:r>
    </w:p>
    <w:p>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6.1、凡符合投标资格要求并有意参加投标者，登录浏阳市城乡发展集团有限责任公司官网（http：//www.liufajituan.com/）免费下载招标文件。</w:t>
      </w:r>
    </w:p>
    <w:p>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6.2、各投标人自行在以上网站下载或查阅招标相关文件和资料等，恕不另行通知，如有遗漏招标采购单位概不负责。</w:t>
      </w:r>
    </w:p>
    <w:p>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联系人：易女士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rPr>
        <w:t>日</w:t>
      </w:r>
    </w:p>
    <w:p>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浏阳市湘赣边秋收起义研学营地配套项目--中央空调、空气能采购（第二次）</w:t>
      </w:r>
      <w:r>
        <w:rPr>
          <w:rFonts w:hint="eastAsia" w:ascii="宋体" w:hAnsi="宋体" w:eastAsia="宋体" w:cs="宋体"/>
          <w:b/>
          <w:bCs/>
          <w:color w:val="auto"/>
          <w:kern w:val="0"/>
          <w:sz w:val="36"/>
          <w:szCs w:val="36"/>
          <w:highlight w:val="none"/>
        </w:rPr>
        <w:t>招标文件</w:t>
      </w:r>
    </w:p>
    <w:p>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受浏阳市文化旅游产业发展有限责任公司委托，就其</w:t>
      </w:r>
      <w:r>
        <w:rPr>
          <w:rFonts w:hint="eastAsia" w:ascii="宋体" w:hAnsi="宋体" w:eastAsia="宋体" w:cs="宋体"/>
          <w:color w:val="auto"/>
          <w:sz w:val="24"/>
          <w:highlight w:val="none"/>
          <w:lang w:eastAsia="zh-CN"/>
        </w:rPr>
        <w:t>浏阳市湘赣边秋收起义研学营地配套项目--中央空调、空气能</w:t>
      </w:r>
      <w:r>
        <w:rPr>
          <w:rFonts w:hint="eastAsia" w:ascii="宋体" w:hAnsi="宋体" w:eastAsia="宋体" w:cs="宋体"/>
          <w:color w:val="auto"/>
          <w:kern w:val="0"/>
          <w:sz w:val="24"/>
          <w:highlight w:val="none"/>
        </w:rPr>
        <w:t>进行采购，现进行公开招标。</w:t>
      </w:r>
    </w:p>
    <w:p>
      <w:pPr>
        <w:numPr>
          <w:ilvl w:val="0"/>
          <w:numId w:val="0"/>
        </w:numPr>
        <w:spacing w:line="520" w:lineRule="exact"/>
        <w:ind w:firstLine="482" w:firstLineChars="200"/>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项目位于文家市，包含中央空调、空气能等采购</w:t>
      </w:r>
      <w:r>
        <w:rPr>
          <w:rFonts w:hint="eastAsia" w:ascii="宋体" w:hAnsi="宋体" w:eastAsia="宋体" w:cs="宋体"/>
          <w:b w:val="0"/>
          <w:bCs w:val="0"/>
          <w:color w:val="auto"/>
          <w:sz w:val="24"/>
          <w:highlight w:val="none"/>
        </w:rPr>
        <w:t>，详见采购清单。</w:t>
      </w:r>
    </w:p>
    <w:p>
      <w:pPr>
        <w:numPr>
          <w:ilvl w:val="0"/>
          <w:numId w:val="0"/>
        </w:numPr>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w:t>
      </w:r>
      <w:r>
        <w:rPr>
          <w:rFonts w:hint="eastAsia" w:ascii="宋体" w:hAnsi="宋体" w:eastAsia="宋体" w:cs="宋体"/>
          <w:color w:val="auto"/>
          <w:sz w:val="24"/>
          <w:szCs w:val="24"/>
          <w:lang w:val="en-US" w:eastAsia="zh-CN"/>
        </w:rPr>
        <w:t>文家市</w:t>
      </w:r>
      <w:r>
        <w:rPr>
          <w:rFonts w:hint="eastAsia" w:ascii="宋体" w:hAnsi="宋体" w:eastAsia="宋体" w:cs="宋体"/>
          <w:color w:val="auto"/>
          <w:sz w:val="24"/>
          <w:highlight w:val="none"/>
        </w:rPr>
        <w:t>。</w:t>
      </w:r>
    </w:p>
    <w:p>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pPr>
        <w:numPr>
          <w:ilvl w:val="0"/>
          <w:numId w:val="0"/>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收到成交通知书后30日历天内完成供货、安装、调试，达到交付使用标准</w:t>
      </w:r>
      <w:r>
        <w:rPr>
          <w:rFonts w:hint="eastAsia" w:ascii="宋体" w:hAnsi="宋体" w:eastAsia="宋体" w:cs="宋体"/>
          <w:color w:val="auto"/>
          <w:sz w:val="24"/>
          <w:highlight w:val="none"/>
        </w:rPr>
        <w:t>。</w:t>
      </w:r>
    </w:p>
    <w:p>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整体质保期为正式验收合格之日起12个月。部分设备的质保期与服务厂商承诺的质保期或国家、行业相关强制标准不一致的，以较长期限为准。</w:t>
      </w:r>
    </w:p>
    <w:p>
      <w:pPr>
        <w:spacing w:line="520" w:lineRule="exact"/>
        <w:ind w:firstLine="641" w:firstLineChars="266"/>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（1）法人提交企业法人营业执照副本(或者法人登记证书)以及组织机构代码证副本复印件；</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（2）依法缴纳税收的证明材料，提供下列材料之一：</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税务登记证》复印件，或近三个月内任意一个月依法缴纳税收的证明(纳税凭证复印件)，或委托他人缴纳的委托代办协议和近三个月内任意一个月的缴纳证明(收据复印件)，或法定征收机关出具的依法免缴税收的证明原件。</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（3）法定代表人提交法定代表人身份证明，或者法定代表人授权委托人提交附有法定代表人身份证明的授权委托书及被授权人在投标人近三个月内任意一个月的社保证明；</w:t>
      </w:r>
    </w:p>
    <w:p>
      <w:pPr>
        <w:widowControl/>
        <w:spacing w:line="520" w:lineRule="exact"/>
        <w:ind w:firstLine="472" w:firstLineChars="200"/>
        <w:rPr>
          <w:rFonts w:hint="eastAsia"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注：①前文所称“近三个月”特指2025年10月至2025年12月。</w:t>
      </w:r>
    </w:p>
    <w:p>
      <w:pPr>
        <w:widowControl/>
        <w:spacing w:line="520" w:lineRule="exact"/>
        <w:ind w:firstLine="472" w:firstLineChars="200"/>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②投标人具有实行了“三证合一”登记制度改革的新证，视同为持有工商营业执照、组织机构代码证和税务登记证，符合基本资格条件的相关条款。</w:t>
      </w:r>
    </w:p>
    <w:p>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243147.82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4"/>
    </w:p>
    <w:p>
      <w:pPr>
        <w:spacing w:line="520" w:lineRule="exact"/>
        <w:ind w:firstLine="482" w:firstLineChars="200"/>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九、</w:t>
      </w:r>
      <w:r>
        <w:rPr>
          <w:rFonts w:hint="eastAsia" w:ascii="宋体" w:hAnsi="宋体" w:eastAsia="宋体" w:cs="宋体"/>
          <w:b/>
          <w:color w:val="auto"/>
          <w:sz w:val="24"/>
          <w:highlight w:val="none"/>
          <w:lang w:val="en-US" w:eastAsia="zh-CN"/>
        </w:rPr>
        <w:t>交货地点及付款方式</w:t>
      </w:r>
    </w:p>
    <w:p>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9.1、交货地点：</w:t>
      </w:r>
      <w:r>
        <w:rPr>
          <w:rFonts w:hint="eastAsia" w:ascii="宋体" w:hAnsi="宋体" w:eastAsia="宋体" w:cs="宋体"/>
          <w:b w:val="0"/>
          <w:bCs/>
          <w:color w:val="auto"/>
          <w:sz w:val="24"/>
          <w:highlight w:val="none"/>
        </w:rPr>
        <w:t>文家市镇秋收起义公租房。</w:t>
      </w:r>
    </w:p>
    <w:p>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5" w:name="_Toc401742306"/>
      <w:bookmarkStart w:id="6" w:name="_Toc359570304"/>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9.3、功能要求及（服务）标准</w:t>
      </w:r>
      <w:r>
        <w:rPr>
          <w:rFonts w:hint="eastAsia" w:ascii="宋体" w:hAnsi="宋体" w:eastAsia="宋体" w:cs="宋体"/>
          <w:b/>
          <w:color w:val="auto"/>
          <w:sz w:val="24"/>
          <w:szCs w:val="24"/>
          <w:highlight w:val="none"/>
          <w:lang w:eastAsia="zh-CN"/>
        </w:rPr>
        <w:t>：</w:t>
      </w:r>
    </w:p>
    <w:p>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5"/>
      <w:bookmarkEnd w:id="6"/>
    </w:p>
    <w:p>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2</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5</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10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00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宋体" w:hAnsi="宋体" w:eastAsia="宋体" w:cs="宋体"/>
          <w:b/>
          <w:color w:val="auto"/>
          <w:sz w:val="24"/>
          <w:highlight w:val="none"/>
        </w:rPr>
      </w:pPr>
      <w:bookmarkStart w:id="7" w:name="_Toc429827520"/>
      <w:bookmarkStart w:id="8" w:name="_Toc300677995"/>
      <w:r>
        <w:rPr>
          <w:rFonts w:hint="eastAsia" w:ascii="宋体" w:hAnsi="宋体" w:eastAsia="宋体" w:cs="宋体"/>
          <w:b/>
          <w:color w:val="auto"/>
          <w:sz w:val="24"/>
          <w:highlight w:val="none"/>
        </w:rPr>
        <w:t>十三、评标办法（最低评标价法）</w:t>
      </w:r>
    </w:p>
    <w:p>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十四、联系方式</w:t>
      </w:r>
    </w:p>
    <w:p>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pPr>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pPr>
        <w:tabs>
          <w:tab w:val="left" w:pos="364"/>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bookmarkStart w:id="12" w:name="_GoBack"/>
      <w:bookmarkEnd w:id="12"/>
    </w:p>
    <w:bookmarkEnd w:id="7"/>
    <w:bookmarkEnd w:id="8"/>
    <w:tbl>
      <w:tblPr>
        <w:tblStyle w:val="14"/>
        <w:tblW w:w="14480"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075"/>
        <w:gridCol w:w="1746"/>
        <w:gridCol w:w="4109"/>
        <w:gridCol w:w="752"/>
        <w:gridCol w:w="845"/>
        <w:gridCol w:w="1197"/>
        <w:gridCol w:w="1165"/>
        <w:gridCol w:w="1200"/>
        <w:gridCol w:w="1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9" w:hRule="atLeast"/>
        </w:trPr>
        <w:tc>
          <w:tcPr>
            <w:tcW w:w="14480"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8"/>
                <w:szCs w:val="28"/>
                <w:u w:val="none"/>
                <w:lang w:val="en-US" w:eastAsia="zh-CN" w:bidi="ar"/>
              </w:rPr>
              <w:t>浏阳市湘赣边秋收起义研学营地配套项目--中央空调、空气能采购（第二次）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货品</w:t>
            </w:r>
          </w:p>
        </w:tc>
        <w:tc>
          <w:tcPr>
            <w:tcW w:w="174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0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项目特征描述</w:t>
            </w:r>
          </w:p>
        </w:tc>
        <w:tc>
          <w:tcPr>
            <w:tcW w:w="75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金额(元)</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c>
          <w:tcPr>
            <w:tcW w:w="1686"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410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综合单价</w:t>
            </w:r>
          </w:p>
        </w:tc>
        <w:tc>
          <w:tcPr>
            <w:tcW w:w="1165" w:type="dxa"/>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合价</w:t>
            </w: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686"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室外机组</w:t>
            </w: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多联机室外机67/75KW</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1.名称:多联机室外机;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2.型号:67/75KW;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3.规格:功率 17.6KW 380V;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4.安装形式:落地安装;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14274.50</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14274.50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多联机室外机90/100KW</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1.名称:多联机室外机;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2.型号:90/100KW;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3.规格:功率 25.2KW 380V;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4.安装形式:落地安装;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18240.80</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18240.80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多联机室外机28/31.5KW</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1.名称:多联机室外机;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2.型号:28/31.5KW;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3.规格:功率 7.1KW 380V;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4.安装形式:落地安装;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9081.35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9081.35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75"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w:t>
            </w: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天花板内置薄型风管机SNJ-2.2</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1.名称:天花板内置薄型风管机;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2.型号:SNJ-2.2;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3.安装形式:吊顶安装;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1360.55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2721.11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天花板内置薄型风管机SNJ-2.8</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1.名称:天花板内置薄型风管机;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2.型号:SNJ-2.8;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3.安装形式:吊顶安装;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1401.23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1401.23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天花板内置薄型风管机SNJ-3.6</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1.名称:天花板内置薄型风管机;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2.型号:SNJ-3.6;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3.安装形式:吊顶安装;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1462.25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1462.25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天花板内置薄型风管机SNJ-4.5</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1.名称:天花板内置薄型风管机;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2.型号:SNJ-4.5;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3.安装形式:吊顶安装;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1614.80</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22607.25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天花板内置薄型风管机SNJ-5.6</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1.名称:天花板内置薄型风管机;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2.型号:SNJ-5.6;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3.安装形式:吊顶安装;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1869.05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3738.11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天花板内置薄型风管机SNJ-7.1</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1.名称:天花板内置薄型风管机;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2.型号:SNJ-7.1;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3.安装形式:吊顶安装;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1937.19</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1937.19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天花板内置薄型风管机SNJ-8.0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1.名称:天花板内置薄型风管机;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2.型号:SNJ-8.0;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3.安装形式:吊顶安装;</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1980.92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11885.54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风机盘管检查接线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1.名称：风机盘管检查接线；</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930.25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碳钢通风管道 长边长(mm) ≤1000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1.名称:碳钢通风管道;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2.材质:镀锌薄钢板;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3.形状:矩形;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4.规格:长边长（mm）≤1000;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110.32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112.93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12458.68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碳钢通风管道 长边长(mm) ≤450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1.名称:碳钢通风管道;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2.材质:镀锌薄钢板;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3.形状:矩形;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4.规格:长边长（mm）≤450;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131.68</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280.48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碳钢通风管道 长边长(mm) ≤320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1.名称:碳钢通风管道;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2.材质:镀锌薄钢板;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3.形状:矩形;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4.规格:长边长（mm）≤320;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167.75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1160.82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通风管道绝热-A级不燃离心玻璃棉板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1.名称：带铝箔离心玻璃棉安装；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2.型号：通风管道(厚度mm) 30mm；</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956.47</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3424.15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帆布软接</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1.名称：弯头导流叶片及其他；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 帆布软管接口；</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5.97</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348.75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2082.05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送风口320*320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1.名称:送风口;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2.类型:铝合金双层百叶;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3.型号:320*320;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90.65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2356.86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送风口250*250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1.名称:送风口;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2.类型:铝合金双层百叶;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3.型号:250*250;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82.18</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821.85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门铰式带滤网百叶回风口800*250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1.名称:门铰式带滤网百叶回风口;2.类型:铝合金单层百叶;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3.型号:800*250;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155.76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934.56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门铰式带滤网百叶回风口800*200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1.名称:门铰式带滤网百叶回风口;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2.类型:铝合金单层百叶;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3.型号:800*200;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142.82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142.82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门铰式带滤网百叶回风口630*200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1.名称:门铰式带滤网百叶回风口;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2.类型:铝合金单层百叶;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3.型号:630*200;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118.48</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236.96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门铰式带滤网百叶回风口580*200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1.名称:门铰式带滤网百叶回风口;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2.类型:铝合金单层百叶;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3.型号:580*200;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124.80</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1747.16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门铰式带滤网百叶回风口400*200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1.名称:门铰式带滤网百叶回风口;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2.类型:铝合金单层百叶;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3.型号:400*200;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79.62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79.62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门铰式带滤网百叶回风口320*200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1.名称:门铰式带滤网百叶回风口;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2.类型:铝合金单层百叶;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3.型号:320*200;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74.81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224.42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75"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冷凝水</w:t>
            </w: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镀锌钢管DN50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1.材质:热镀锌钢管;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2.规格:DN50;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3.连接形式:螺纹连接;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4.介质:冷凝水;</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15.75</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73.89</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1163.78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镀锌钢管DN40</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1.材质:热镀锌钢管;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2.规格:DN40;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3.连接形式:螺纹连接;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4.介质:冷凝水;</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33.64</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68.07</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2289.91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镀锌钢管DN32</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1.材质:热镀锌钢管;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2.规格:DN32;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3.连接形式:螺纹连接;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4.介质:冷凝水;</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65.56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232.75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镀锌钢管DN25</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1.材质:热镀锌钢管;2.规格:DN25;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3.连接形式:螺纹连接;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4.介质:冷凝水;</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96.28</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5295.12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管道支架</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1.名称:管道支架;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2.材质:型钢;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3.支架形式:吊架;</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50.07</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803.98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75" w:type="dxa"/>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管道绝热-闭孔难燃B1级发泡橡塑</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1.名称：橡塑保温管；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2.规格：DN50;</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2049.73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655.91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冷媒</w:t>
            </w: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铜管Φ31.75</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2.规格:31.75;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100.13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440.56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铜管Φ28.6</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2.规格:28.6;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22.75</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88.76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2019.32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铜管Φ25.4</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2.规格:25.4;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80.51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138.48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铜管Φ22.2</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2.规格:22.2;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11.85</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71.91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852.17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铜管Φ19.05</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2.规格:19.05;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28.98</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60.14</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1742.82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铜管Φ15.88</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2.规格:15.88;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61.08</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52.59</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3212.21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铜管Φ12.7</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2.规格:12.7;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40.89</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70.34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铜管Φ9.53</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2.规格:9.53;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148.28</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33.44</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4958.00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铜管Φ6.4</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1.材质:铜管;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2.规格:6.4;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3.管卡材质:铜;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4.介质:制冷剂;</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27.24</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2207.06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管道支架</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1.名称:管道支架;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2.材质:型钢;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3.支架形式:吊架;</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185.77</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3012.35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铜管保温-管外径（mm以内） 13</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1.名称:制冷剂R410A；</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0.41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2289.72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938.78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铜管保温-管外径（mm以内） 23</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2.型号:Φ31.75；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0.34</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2169.61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737.66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铜管保温-管外径（mm以内） 32</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2.型号:Φ28.6；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0.16</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2119.06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339.05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追加制冷剂R410A</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2.型号:Φ25.4；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45.77</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4576.50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分歧器Φ31.75</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2.型号:Φ22.2；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164.21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164.21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分歧器Φ28.6</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2.型号:Φ19.05；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139.31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557.23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分歧器Φ25.4</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2.型号:Φ15.88；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121.46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121.46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分歧器Φ22.2</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2.型号:Φ12.7；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115.17</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230.34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分歧器Φ19.05</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1.名称:冷媒分歧管；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2.型号:Φ9.53；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3.材质:铜；</w:t>
            </w: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88.02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792.14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分歧器Φ15.88</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77.53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1007.88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分歧器Φ12.7</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73.33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73.33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746"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分歧器Φ9.53</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1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71.24</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1353.47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70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075"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热水系统</w:t>
            </w:r>
          </w:p>
        </w:tc>
        <w:tc>
          <w:tcPr>
            <w:tcW w:w="1746" w:type="dxa"/>
            <w:tcBorders>
              <w:top w:val="single" w:color="000000" w:sz="4" w:space="0"/>
              <w:left w:val="nil"/>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空气源热泵机组</w:t>
            </w:r>
          </w:p>
        </w:tc>
        <w:tc>
          <w:tcPr>
            <w:tcW w:w="4109"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1.型号、规格:单台名义制热量40KW（10匹），合计2台，详见相关的图纸设计;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2.安装方式:屋顶安装;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3.减震装置形式:成品机座;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4.含1个有效容积14t恒温热水箱，加压泵、循环泵、稳压装置、控制配电箱、机座等其他配套配件,详见图纸;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5、连接需要不锈钢水管、及水管保温防护</w:t>
            </w:r>
          </w:p>
        </w:tc>
        <w:tc>
          <w:tcPr>
            <w:tcW w:w="752" w:type="dxa"/>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845" w:type="dxa"/>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7" w:type="dxa"/>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88931.00</w:t>
            </w:r>
          </w:p>
        </w:tc>
        <w:tc>
          <w:tcPr>
            <w:tcW w:w="1165" w:type="dxa"/>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88931.00</w:t>
            </w:r>
          </w:p>
        </w:tc>
        <w:tc>
          <w:tcPr>
            <w:tcW w:w="120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详见图纸</w:t>
            </w:r>
          </w:p>
        </w:tc>
        <w:tc>
          <w:tcPr>
            <w:tcW w:w="16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格力、美的、海尔（不包含旗下子品牌）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1"/>
                <w:szCs w:val="21"/>
                <w:u w:val="none"/>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243147.82 </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1、本清单中仅列出主要设备材料，所含其他辅助材料费用请在投标报价时综合考虑；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2、本清单所列出所有设备及土建报价均已综合考虑税费、运费、设计费和安装调试费等；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3、投标人报价时，总价和单价均不得超过招标人提供的采购清单最高限价总价和单价；</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宋体"/>
          <w:color w:val="auto"/>
          <w:sz w:val="24"/>
          <w:highlight w:val="none"/>
        </w:rPr>
      </w:pPr>
      <w:r>
        <w:rPr>
          <w:rFonts w:hint="eastAsia" w:ascii="宋体" w:hAnsi="宋体" w:eastAsia="宋体" w:cs="宋体"/>
          <w:i w:val="0"/>
          <w:iCs w:val="0"/>
          <w:color w:val="auto"/>
          <w:kern w:val="0"/>
          <w:sz w:val="22"/>
          <w:szCs w:val="22"/>
          <w:highlight w:val="none"/>
          <w:u w:val="none"/>
          <w:lang w:val="en-US" w:eastAsia="zh-CN" w:bidi="ar"/>
        </w:rPr>
        <w:t>4、本项目需开具全额增值税专用发票。</w:t>
      </w: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rPr>
          <w:rFonts w:ascii="宋体" w:hAnsi="宋体" w:eastAsia="宋体" w:cs="宋体"/>
          <w:color w:val="auto"/>
          <w:sz w:val="24"/>
          <w:highlight w:val="none"/>
        </w:rPr>
        <w:sectPr>
          <w:pgSz w:w="16838" w:h="11905" w:orient="landscape"/>
          <w:pgMar w:top="1531" w:right="1531" w:bottom="1531" w:left="1531" w:header="850" w:footer="992" w:gutter="0"/>
          <w:pgNumType w:fmt="decimal"/>
          <w:cols w:space="0" w:num="1"/>
          <w:rtlGutter w:val="0"/>
          <w:docGrid w:type="lines" w:linePitch="315" w:charSpace="0"/>
        </w:sectPr>
      </w:pPr>
      <w:r>
        <w:rPr>
          <w:rFonts w:ascii="宋体" w:hAnsi="宋体" w:eastAsia="宋体" w:cs="宋体"/>
          <w:color w:val="auto"/>
          <w:sz w:val="24"/>
          <w:highlight w:val="none"/>
        </w:rPr>
        <w:br w:type="page"/>
      </w:r>
    </w:p>
    <w:p>
      <w:pPr>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p>
    <w:p>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宋体" w:hAnsi="宋体" w:eastAsia="宋体" w:cs="宋体"/>
          <w:color w:val="auto"/>
          <w:sz w:val="32"/>
          <w:highlight w:val="none"/>
        </w:rPr>
      </w:pPr>
    </w:p>
    <w:p>
      <w:pPr>
        <w:overflowPunct w:val="0"/>
        <w:spacing w:beforeLines="100"/>
        <w:jc w:val="center"/>
        <w:rPr>
          <w:rFonts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浏阳市湘赣边秋收起义研学营地配套项目--中央空调、空气能采购（第二次）</w:t>
      </w:r>
    </w:p>
    <w:p>
      <w:pPr>
        <w:overflowPunct w:val="0"/>
        <w:spacing w:beforeLines="100"/>
        <w:jc w:val="center"/>
        <w:rPr>
          <w:rFonts w:hint="eastAsia" w:ascii="宋体" w:hAnsi="宋体" w:eastAsia="宋体" w:cs="宋体"/>
          <w:bCs/>
          <w:color w:val="auto"/>
          <w:sz w:val="36"/>
          <w:szCs w:val="36"/>
          <w:highlight w:val="none"/>
          <w:lang w:eastAsia="zh-CN"/>
        </w:rPr>
      </w:pPr>
    </w:p>
    <w:p>
      <w:pPr>
        <w:overflowPunct w:val="0"/>
        <w:spacing w:beforeLines="100"/>
        <w:jc w:val="center"/>
        <w:rPr>
          <w:rFonts w:hint="eastAsia" w:ascii="宋体" w:hAnsi="宋体" w:eastAsia="宋体" w:cs="宋体"/>
          <w:bCs/>
          <w:color w:val="auto"/>
          <w:sz w:val="36"/>
          <w:szCs w:val="36"/>
          <w:highlight w:val="none"/>
          <w:lang w:eastAsia="zh-CN"/>
        </w:rPr>
      </w:pPr>
    </w:p>
    <w:p>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overflowPunct w:val="0"/>
        <w:jc w:val="left"/>
        <w:rPr>
          <w:rFonts w:ascii="宋体" w:hAnsi="宋体" w:eastAsia="宋体" w:cs="宋体"/>
          <w:color w:val="auto"/>
          <w:sz w:val="24"/>
          <w:szCs w:val="28"/>
          <w:highlight w:val="none"/>
        </w:rPr>
      </w:pPr>
    </w:p>
    <w:p>
      <w:pPr>
        <w:overflowPunct w:val="0"/>
        <w:jc w:val="left"/>
        <w:rPr>
          <w:rFonts w:ascii="宋体" w:hAnsi="宋体" w:eastAsia="宋体" w:cs="宋体"/>
          <w:color w:val="auto"/>
          <w:sz w:val="24"/>
          <w:szCs w:val="28"/>
          <w:highlight w:val="none"/>
        </w:rPr>
      </w:pPr>
    </w:p>
    <w:p>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pPr>
        <w:overflowPunct w:val="0"/>
        <w:jc w:val="center"/>
        <w:rPr>
          <w:rFonts w:hint="eastAsia" w:ascii="宋体" w:hAnsi="宋体" w:eastAsia="宋体" w:cs="宋体"/>
          <w:color w:val="auto"/>
          <w:sz w:val="18"/>
          <w:szCs w:val="18"/>
          <w:highlight w:val="none"/>
        </w:rPr>
      </w:pPr>
    </w:p>
    <w:p>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pPr>
        <w:spacing w:line="420" w:lineRule="exact"/>
        <w:jc w:val="center"/>
        <w:rPr>
          <w:rFonts w:ascii="宋体" w:hAnsi="宋体" w:eastAsia="宋体" w:cs="宋体"/>
          <w:color w:val="auto"/>
          <w:sz w:val="24"/>
          <w:highlight w:val="none"/>
        </w:rPr>
      </w:pP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pPr>
        <w:spacing w:line="420" w:lineRule="exact"/>
        <w:ind w:firstLine="480"/>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4"/>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pPr>
              <w:spacing w:line="70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浏阳市湘赣边秋收起义研学营地配套项目--中央空调、空气能采购（第二次）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服务工期</w:t>
            </w:r>
          </w:p>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收到成交通知书后30日历天内完成供货、安装、调试，达到交付使用标准</w:t>
            </w:r>
            <w:r>
              <w:rPr>
                <w:rFonts w:hint="eastAsia" w:ascii="宋体" w:hAnsi="宋体" w:eastAsia="宋体" w:cs="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pPr>
        <w:spacing w:line="400" w:lineRule="exact"/>
        <w:jc w:val="center"/>
        <w:rPr>
          <w:rFonts w:ascii="宋体" w:hAnsi="宋体" w:eastAsia="宋体" w:cs="宋体"/>
          <w:color w:val="auto"/>
          <w:sz w:val="24"/>
          <w:highlight w:val="none"/>
          <w:lang w:val="sq-AL"/>
        </w:rPr>
      </w:pPr>
    </w:p>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pPr>
        <w:spacing w:line="400" w:lineRule="exact"/>
        <w:jc w:val="center"/>
        <w:rPr>
          <w:rFonts w:ascii="宋体" w:hAnsi="宋体" w:eastAsia="宋体" w:cs="宋体"/>
          <w:color w:val="auto"/>
          <w:sz w:val="24"/>
          <w:highlight w:val="none"/>
          <w:lang w:val="sq-AL"/>
        </w:rPr>
      </w:pPr>
    </w:p>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14"/>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widowControl/>
              <w:jc w:val="center"/>
              <w:textAlignment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pPr>
              <w:adjustRightInd w:val="0"/>
              <w:snapToGrid w:val="0"/>
              <w:spacing w:line="360" w:lineRule="auto"/>
              <w:jc w:val="center"/>
              <w:rPr>
                <w:rFonts w:ascii="宋体" w:hAnsi="宋体" w:eastAsia="宋体" w:cs="宋体"/>
                <w:color w:val="auto"/>
                <w:sz w:val="32"/>
                <w:szCs w:val="21"/>
                <w:highlight w:val="none"/>
              </w:rPr>
            </w:pPr>
          </w:p>
        </w:tc>
      </w:tr>
    </w:tbl>
    <w:p>
      <w:pPr>
        <w:spacing w:line="360" w:lineRule="exact"/>
        <w:ind w:firstLine="241" w:firstLineChars="100"/>
        <w:rPr>
          <w:rFonts w:ascii="宋体" w:hAnsi="宋体" w:eastAsia="宋体" w:cs="宋体"/>
          <w:b/>
          <w:color w:val="auto"/>
          <w:sz w:val="24"/>
          <w:highlight w:val="none"/>
        </w:rPr>
      </w:pPr>
    </w:p>
    <w:p>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ascii="宋体" w:hAnsi="宋体" w:eastAsia="宋体" w:cs="宋体"/>
          <w:b/>
          <w:color w:val="auto"/>
          <w:sz w:val="32"/>
          <w:szCs w:val="32"/>
          <w:highlight w:val="none"/>
        </w:rPr>
      </w:pPr>
    </w:p>
    <w:p>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pPr>
        <w:adjustRightInd w:val="0"/>
        <w:snapToGrid w:val="0"/>
        <w:ind w:left="-88" w:leftChars="-42" w:firstLine="281" w:firstLineChars="100"/>
        <w:jc w:val="center"/>
        <w:rPr>
          <w:rFonts w:ascii="宋体" w:hAnsi="宋体" w:eastAsia="宋体" w:cs="宋体"/>
          <w:b/>
          <w:bCs/>
          <w:color w:val="auto"/>
          <w:sz w:val="28"/>
          <w:szCs w:val="28"/>
          <w:highlight w:val="none"/>
        </w:rPr>
      </w:pPr>
    </w:p>
    <w:p>
      <w:pPr>
        <w:adjustRightInd w:val="0"/>
        <w:snapToGrid w:val="0"/>
        <w:ind w:left="-88" w:leftChars="-42" w:firstLine="210" w:firstLineChars="100"/>
        <w:rPr>
          <w:rFonts w:ascii="宋体" w:hAnsi="宋体" w:eastAsia="宋体" w:cs="宋体"/>
          <w:bCs/>
          <w:color w:val="auto"/>
          <w:szCs w:val="21"/>
          <w:highlight w:val="none"/>
        </w:rPr>
      </w:pPr>
    </w:p>
    <w:p>
      <w:pPr>
        <w:adjustRightInd w:val="0"/>
        <w:snapToGrid w:val="0"/>
        <w:ind w:left="-88" w:leftChars="-42" w:firstLine="210" w:firstLineChars="100"/>
        <w:rPr>
          <w:rFonts w:ascii="宋体" w:hAnsi="宋体" w:eastAsia="宋体" w:cs="宋体"/>
          <w:color w:val="auto"/>
          <w:szCs w:val="21"/>
          <w:highlight w:val="none"/>
        </w:rPr>
      </w:pPr>
    </w:p>
    <w:p>
      <w:pPr>
        <w:adjustRightInd w:val="0"/>
        <w:snapToGrid w:val="0"/>
        <w:ind w:left="-88" w:leftChars="-42"/>
        <w:outlineLvl w:val="0"/>
        <w:rPr>
          <w:rFonts w:ascii="宋体" w:hAnsi="宋体" w:eastAsia="宋体" w:cs="宋体"/>
          <w:bCs/>
          <w:color w:val="auto"/>
          <w:sz w:val="24"/>
          <w:highlight w:val="none"/>
        </w:rPr>
      </w:pPr>
    </w:p>
    <w:p>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pPr>
        <w:adjustRightInd w:val="0"/>
        <w:snapToGrid w:val="0"/>
        <w:rPr>
          <w:rFonts w:ascii="宋体" w:hAnsi="宋体" w:eastAsia="宋体" w:cs="宋体"/>
          <w:color w:val="auto"/>
          <w:sz w:val="24"/>
          <w:highlight w:val="none"/>
        </w:rPr>
      </w:pPr>
    </w:p>
    <w:p>
      <w:pPr>
        <w:adjustRightInd w:val="0"/>
        <w:snapToGrid w:val="0"/>
        <w:rPr>
          <w:rFonts w:ascii="宋体" w:hAnsi="宋体" w:eastAsia="宋体" w:cs="宋体"/>
          <w:color w:val="auto"/>
          <w:sz w:val="24"/>
          <w:highlight w:val="none"/>
        </w:rPr>
      </w:pPr>
    </w:p>
    <w:p>
      <w:pPr>
        <w:adjustRightInd w:val="0"/>
        <w:snapToGrid w:val="0"/>
        <w:rPr>
          <w:rFonts w:ascii="宋体" w:hAnsi="宋体" w:eastAsia="宋体" w:cs="宋体"/>
          <w:color w:val="auto"/>
          <w:sz w:val="24"/>
          <w:highlight w:val="none"/>
        </w:rPr>
      </w:pPr>
    </w:p>
    <w:p>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4"/>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bl>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pPr>
        <w:adjustRightInd w:val="0"/>
        <w:snapToGrid w:val="0"/>
        <w:ind w:left="-88" w:leftChars="-42"/>
        <w:rPr>
          <w:rFonts w:ascii="宋体" w:hAnsi="宋体" w:eastAsia="宋体" w:cs="宋体"/>
          <w:color w:val="auto"/>
          <w:sz w:val="24"/>
          <w:highlight w:val="none"/>
        </w:rPr>
      </w:pPr>
    </w:p>
    <w:p>
      <w:pPr>
        <w:adjustRightInd w:val="0"/>
        <w:snapToGrid w:val="0"/>
        <w:ind w:left="-88" w:leftChars="-42"/>
        <w:rPr>
          <w:rFonts w:ascii="宋体" w:hAnsi="宋体" w:eastAsia="宋体" w:cs="宋体"/>
          <w:color w:val="auto"/>
          <w:sz w:val="24"/>
          <w:highlight w:val="none"/>
        </w:rPr>
      </w:pPr>
    </w:p>
    <w:p>
      <w:pPr>
        <w:adjustRightInd w:val="0"/>
        <w:snapToGrid w:val="0"/>
        <w:ind w:left="-88" w:leftChars="-42"/>
        <w:rPr>
          <w:rFonts w:ascii="宋体" w:hAnsi="宋体" w:eastAsia="宋体" w:cs="宋体"/>
          <w:color w:val="auto"/>
          <w:sz w:val="24"/>
          <w:highlight w:val="none"/>
        </w:rPr>
      </w:pPr>
    </w:p>
    <w:p>
      <w:pPr>
        <w:ind w:firstLine="480" w:firstLineChars="200"/>
        <w:rPr>
          <w:rFonts w:ascii="宋体" w:hAnsi="宋体" w:eastAsia="宋体" w:cs="宋体"/>
          <w:color w:val="auto"/>
          <w:sz w:val="24"/>
          <w:highlight w:val="none"/>
        </w:rPr>
      </w:pPr>
    </w:p>
    <w:p>
      <w:pPr>
        <w:ind w:firstLine="480" w:firstLineChars="200"/>
        <w:rPr>
          <w:rFonts w:ascii="宋体" w:hAnsi="宋体" w:eastAsia="宋体" w:cs="宋体"/>
          <w:color w:val="auto"/>
          <w:sz w:val="24"/>
          <w:highlight w:val="none"/>
        </w:rPr>
      </w:pP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pPr>
        <w:adjustRightInd w:val="0"/>
        <w:snapToGrid w:val="0"/>
        <w:spacing w:line="360" w:lineRule="auto"/>
        <w:outlineLvl w:val="0"/>
        <w:rPr>
          <w:rFonts w:ascii="宋体" w:hAnsi="宋体" w:eastAsia="宋体" w:cs="宋体"/>
          <w:color w:val="auto"/>
          <w:szCs w:val="21"/>
          <w:highlight w:val="none"/>
        </w:rPr>
      </w:pPr>
    </w:p>
    <w:p>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ascii="宋体" w:hAnsi="宋体" w:eastAsia="宋体" w:cs="宋体"/>
          <w:color w:val="auto"/>
          <w:sz w:val="24"/>
          <w:highlight w:val="none"/>
        </w:rPr>
      </w:pPr>
    </w:p>
    <w:p>
      <w:pPr>
        <w:spacing w:line="400" w:lineRule="exact"/>
        <w:jc w:val="right"/>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ascii="宋体" w:hAnsi="宋体" w:eastAsia="宋体" w:cs="宋体"/>
          <w:color w:val="auto"/>
          <w:sz w:val="24"/>
          <w:highlight w:val="none"/>
        </w:rPr>
      </w:pPr>
    </w:p>
    <w:p>
      <w:pPr>
        <w:spacing w:line="400" w:lineRule="exact"/>
        <w:jc w:val="right"/>
        <w:rPr>
          <w:rFonts w:ascii="宋体" w:hAnsi="宋体" w:eastAsia="宋体" w:cs="宋体"/>
          <w:color w:val="auto"/>
          <w:sz w:val="24"/>
          <w:highlight w:val="none"/>
        </w:rPr>
      </w:pPr>
    </w:p>
    <w:p>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年月日 </w:t>
      </w:r>
    </w:p>
    <w:p>
      <w:pPr>
        <w:spacing w:line="400" w:lineRule="exact"/>
        <w:ind w:right="600"/>
        <w:rPr>
          <w:rFonts w:ascii="宋体" w:hAnsi="宋体" w:eastAsia="宋体" w:cs="宋体"/>
          <w:b/>
          <w:color w:val="auto"/>
          <w:sz w:val="24"/>
          <w:highlight w:val="none"/>
        </w:rPr>
      </w:pPr>
    </w:p>
    <w:p>
      <w:pPr>
        <w:spacing w:line="440" w:lineRule="exact"/>
        <w:ind w:right="600"/>
        <w:rPr>
          <w:rFonts w:ascii="宋体" w:hAnsi="宋体" w:eastAsia="宋体" w:cs="宋体"/>
          <w:b/>
          <w:color w:val="auto"/>
          <w:sz w:val="24"/>
          <w:highlight w:val="none"/>
        </w:rPr>
      </w:pPr>
      <w:bookmarkStart w:id="9" w:name="_Toc235592960"/>
      <w:bookmarkStart w:id="10" w:name="_Toc193115823"/>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pPr>
        <w:spacing w:line="400" w:lineRule="exact"/>
        <w:rPr>
          <w:rFonts w:ascii="宋体" w:hAnsi="宋体" w:eastAsia="宋体" w:cs="宋体"/>
          <w:color w:val="auto"/>
          <w:szCs w:val="21"/>
          <w:highlight w:val="none"/>
        </w:rPr>
      </w:pPr>
    </w:p>
    <w:p>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pPr>
        <w:spacing w:line="400" w:lineRule="exact"/>
        <w:rPr>
          <w:rFonts w:ascii="宋体" w:hAnsi="宋体" w:eastAsia="宋体" w:cs="宋体"/>
          <w:color w:val="auto"/>
          <w:sz w:val="32"/>
          <w:szCs w:val="21"/>
          <w:highlight w:val="none"/>
        </w:rPr>
      </w:pPr>
    </w:p>
    <w:p>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ascii="宋体" w:hAnsi="宋体" w:eastAsia="宋体" w:cs="宋体"/>
          <w:color w:val="auto"/>
          <w:sz w:val="24"/>
          <w:highlight w:val="none"/>
        </w:rPr>
      </w:pPr>
    </w:p>
    <w:p>
      <w:pPr>
        <w:spacing w:line="240" w:lineRule="exact"/>
        <w:ind w:firstLine="480" w:firstLineChars="200"/>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ascii="宋体" w:hAnsi="宋体" w:eastAsia="宋体" w:cs="宋体"/>
          <w:color w:val="auto"/>
          <w:sz w:val="28"/>
          <w:szCs w:val="28"/>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pPr>
        <w:spacing w:line="240" w:lineRule="exact"/>
        <w:jc w:val="right"/>
        <w:rPr>
          <w:rFonts w:ascii="宋体" w:hAnsi="宋体" w:eastAsia="宋体" w:cs="宋体"/>
          <w:color w:val="auto"/>
          <w:sz w:val="24"/>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pPr>
        <w:spacing w:line="240" w:lineRule="exact"/>
        <w:ind w:right="420"/>
        <w:rPr>
          <w:rFonts w:ascii="宋体" w:hAnsi="宋体" w:eastAsia="宋体" w:cs="宋体"/>
          <w:color w:val="auto"/>
          <w:sz w:val="24"/>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pPr>
        <w:spacing w:line="240" w:lineRule="exact"/>
        <w:ind w:right="480"/>
        <w:rPr>
          <w:rFonts w:ascii="宋体" w:hAnsi="宋体" w:eastAsia="宋体" w:cs="宋体"/>
          <w:color w:val="auto"/>
          <w:sz w:val="24"/>
          <w:highlight w:val="none"/>
        </w:rPr>
      </w:pPr>
    </w:p>
    <w:p>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pPr>
        <w:ind w:firstLine="640" w:firstLineChars="200"/>
        <w:rPr>
          <w:rFonts w:ascii="宋体" w:hAnsi="宋体" w:eastAsia="宋体" w:cs="宋体"/>
          <w:color w:val="auto"/>
          <w:sz w:val="32"/>
          <w:highlight w:val="none"/>
        </w:rPr>
      </w:pPr>
    </w:p>
    <w:p>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4"/>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bl>
    <w:p>
      <w:pPr>
        <w:overflowPunct w:val="0"/>
        <w:spacing w:line="360" w:lineRule="auto"/>
        <w:jc w:val="center"/>
        <w:rPr>
          <w:rFonts w:ascii="宋体" w:hAnsi="宋体" w:eastAsia="宋体" w:cs="宋体"/>
          <w:b/>
          <w:color w:val="auto"/>
          <w:sz w:val="32"/>
          <w:szCs w:val="32"/>
          <w:highlight w:val="none"/>
        </w:rPr>
      </w:pPr>
    </w:p>
    <w:p>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pPr>
        <w:overflowPunct w:val="0"/>
        <w:spacing w:line="360" w:lineRule="auto"/>
        <w:jc w:val="center"/>
        <w:rPr>
          <w:rFonts w:ascii="宋体" w:hAnsi="宋体" w:eastAsia="宋体" w:cs="宋体"/>
          <w:b/>
          <w:color w:val="auto"/>
          <w:sz w:val="32"/>
          <w:szCs w:val="32"/>
          <w:highlight w:val="none"/>
        </w:rPr>
      </w:pPr>
    </w:p>
    <w:p>
      <w:pPr>
        <w:spacing w:line="480" w:lineRule="exact"/>
        <w:rPr>
          <w:rFonts w:ascii="宋体" w:hAnsi="宋体" w:eastAsia="宋体" w:cs="宋体"/>
          <w:color w:val="auto"/>
          <w:sz w:val="30"/>
          <w:szCs w:val="30"/>
          <w:highlight w:val="none"/>
        </w:rPr>
      </w:pPr>
    </w:p>
    <w:p>
      <w:pPr>
        <w:spacing w:line="480" w:lineRule="exact"/>
        <w:rPr>
          <w:rFonts w:ascii="宋体" w:hAnsi="宋体" w:eastAsia="宋体" w:cs="宋体"/>
          <w:color w:val="auto"/>
          <w:sz w:val="30"/>
          <w:szCs w:val="30"/>
          <w:highlight w:val="none"/>
        </w:rPr>
      </w:pPr>
    </w:p>
    <w:p>
      <w:pPr>
        <w:spacing w:line="480" w:lineRule="exact"/>
        <w:rPr>
          <w:rFonts w:ascii="宋体" w:hAnsi="宋体" w:eastAsia="宋体" w:cs="宋体"/>
          <w:color w:val="auto"/>
          <w:sz w:val="30"/>
          <w:szCs w:val="30"/>
          <w:highlight w:val="none"/>
        </w:rPr>
      </w:pPr>
    </w:p>
    <w:p>
      <w:pPr>
        <w:adjustRightInd w:val="0"/>
        <w:snapToGrid w:val="0"/>
        <w:spacing w:line="360" w:lineRule="auto"/>
        <w:outlineLvl w:val="0"/>
        <w:rPr>
          <w:rFonts w:ascii="宋体" w:hAnsi="宋体" w:eastAsia="宋体" w:cs="宋体"/>
          <w:b/>
          <w:color w:val="auto"/>
          <w:sz w:val="24"/>
          <w:highlight w:val="none"/>
        </w:rPr>
      </w:pPr>
    </w:p>
    <w:p>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pPr>
        <w:rPr>
          <w:rFonts w:ascii="宋体" w:hAnsi="宋体" w:eastAsia="宋体" w:cs="宋体"/>
          <w:color w:val="auto"/>
          <w:sz w:val="32"/>
          <w:highlight w:val="none"/>
        </w:rPr>
      </w:pPr>
    </w:p>
    <w:p>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6A347B"/>
    <w:rsid w:val="022B1413"/>
    <w:rsid w:val="025179BA"/>
    <w:rsid w:val="0257598A"/>
    <w:rsid w:val="029F039A"/>
    <w:rsid w:val="02A86215"/>
    <w:rsid w:val="02E3341B"/>
    <w:rsid w:val="02E66FBD"/>
    <w:rsid w:val="02ED4364"/>
    <w:rsid w:val="02F2197A"/>
    <w:rsid w:val="035241C7"/>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B437FC"/>
    <w:rsid w:val="0DC83553"/>
    <w:rsid w:val="0DD028B8"/>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41348F8"/>
    <w:rsid w:val="14151024"/>
    <w:rsid w:val="142739AB"/>
    <w:rsid w:val="145F04F1"/>
    <w:rsid w:val="14BA7A84"/>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2071DB9"/>
    <w:rsid w:val="22A36827"/>
    <w:rsid w:val="23636EA1"/>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357A01"/>
    <w:rsid w:val="29581C87"/>
    <w:rsid w:val="29693E94"/>
    <w:rsid w:val="296C2E8C"/>
    <w:rsid w:val="29A5770C"/>
    <w:rsid w:val="29EF3C6E"/>
    <w:rsid w:val="2A2D4934"/>
    <w:rsid w:val="2A497953"/>
    <w:rsid w:val="2BE87373"/>
    <w:rsid w:val="2C0564E9"/>
    <w:rsid w:val="2C6C370D"/>
    <w:rsid w:val="2DBF0527"/>
    <w:rsid w:val="2DE53D06"/>
    <w:rsid w:val="2E701821"/>
    <w:rsid w:val="2E92378A"/>
    <w:rsid w:val="2F611C76"/>
    <w:rsid w:val="2FF124EE"/>
    <w:rsid w:val="302B327D"/>
    <w:rsid w:val="30F71D86"/>
    <w:rsid w:val="318D6246"/>
    <w:rsid w:val="31CB6D6E"/>
    <w:rsid w:val="32A23F73"/>
    <w:rsid w:val="33095248"/>
    <w:rsid w:val="332E1DFE"/>
    <w:rsid w:val="339613FE"/>
    <w:rsid w:val="33F151B2"/>
    <w:rsid w:val="348744BB"/>
    <w:rsid w:val="35D71366"/>
    <w:rsid w:val="3757357E"/>
    <w:rsid w:val="382E6BCD"/>
    <w:rsid w:val="38596F16"/>
    <w:rsid w:val="38E86458"/>
    <w:rsid w:val="3902576C"/>
    <w:rsid w:val="390457DD"/>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934BE4"/>
    <w:rsid w:val="3D9646D4"/>
    <w:rsid w:val="3DC56B27"/>
    <w:rsid w:val="3E6B3DB3"/>
    <w:rsid w:val="3E8F54E1"/>
    <w:rsid w:val="3ECB78C6"/>
    <w:rsid w:val="3F0F0517"/>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185124"/>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BB2633"/>
    <w:rsid w:val="533B2FA2"/>
    <w:rsid w:val="53513D1E"/>
    <w:rsid w:val="549537A4"/>
    <w:rsid w:val="54E904F5"/>
    <w:rsid w:val="55FF74F3"/>
    <w:rsid w:val="56002CAA"/>
    <w:rsid w:val="564B6CB9"/>
    <w:rsid w:val="56883D6D"/>
    <w:rsid w:val="568D0913"/>
    <w:rsid w:val="56A34824"/>
    <w:rsid w:val="56AB2D7B"/>
    <w:rsid w:val="56AE6F7A"/>
    <w:rsid w:val="56F90CEB"/>
    <w:rsid w:val="57882178"/>
    <w:rsid w:val="57D83E10"/>
    <w:rsid w:val="58311772"/>
    <w:rsid w:val="58BD4DB3"/>
    <w:rsid w:val="59701E26"/>
    <w:rsid w:val="59FA62BF"/>
    <w:rsid w:val="5A735109"/>
    <w:rsid w:val="5AB75F5E"/>
    <w:rsid w:val="5AC558ED"/>
    <w:rsid w:val="5B89084D"/>
    <w:rsid w:val="5BAA161F"/>
    <w:rsid w:val="5BC00E43"/>
    <w:rsid w:val="5C877481"/>
    <w:rsid w:val="5D3D64C3"/>
    <w:rsid w:val="5DAD3C44"/>
    <w:rsid w:val="5DB42C29"/>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5A46"/>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9242F2"/>
    <w:rsid w:val="6B4C1B30"/>
    <w:rsid w:val="6B67752D"/>
    <w:rsid w:val="6C5F0204"/>
    <w:rsid w:val="6CA4030D"/>
    <w:rsid w:val="6D2D3E5E"/>
    <w:rsid w:val="6D5D0BE7"/>
    <w:rsid w:val="6DA31DF0"/>
    <w:rsid w:val="6DEF1638"/>
    <w:rsid w:val="6DFF5B12"/>
    <w:rsid w:val="6E526272"/>
    <w:rsid w:val="6E64222D"/>
    <w:rsid w:val="6EDB6AE2"/>
    <w:rsid w:val="6F335A1C"/>
    <w:rsid w:val="6F754A3C"/>
    <w:rsid w:val="7002625E"/>
    <w:rsid w:val="70271BB7"/>
    <w:rsid w:val="7040644A"/>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963C93"/>
    <w:rsid w:val="77021825"/>
    <w:rsid w:val="774B3C01"/>
    <w:rsid w:val="794551C2"/>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rPr>
      <w:sz w:val="24"/>
    </w:rPr>
  </w:style>
  <w:style w:type="paragraph" w:styleId="10">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1">
    <w:name w:val="Body Text First Indent 2"/>
    <w:basedOn w:val="3"/>
    <w:next w:val="12"/>
    <w:qFormat/>
    <w:uiPriority w:val="0"/>
    <w:pPr>
      <w:ind w:firstLine="420" w:firstLineChars="200"/>
    </w:pPr>
    <w:rPr>
      <w:rFonts w:ascii="Times New Roman" w:hAnsi="Times New Roman" w:eastAsia="仿宋_GB2312"/>
      <w:sz w:val="32"/>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11"/>
    <w:qFormat/>
    <w:uiPriority w:val="0"/>
    <w:pPr>
      <w:widowControl w:val="0"/>
      <w:jc w:val="both"/>
    </w:pPr>
    <w:rPr>
      <w:rFonts w:ascii="Calibri" w:hAnsi="Calibri" w:eastAsia="宋体" w:cs="Times New Roman"/>
      <w:kern w:val="2"/>
      <w:sz w:val="24"/>
      <w:szCs w:val="22"/>
      <w:lang w:val="en-US" w:eastAsia="zh-CN" w:bidi="ar-SA"/>
    </w:rPr>
  </w:style>
  <w:style w:type="character" w:styleId="16">
    <w:name w:val="Strong"/>
    <w:basedOn w:val="15"/>
    <w:qFormat/>
    <w:uiPriority w:val="0"/>
    <w:rPr>
      <w:b/>
    </w:rPr>
  </w:style>
  <w:style w:type="character" w:customStyle="1" w:styleId="17">
    <w:name w:val="font61"/>
    <w:basedOn w:val="15"/>
    <w:qFormat/>
    <w:uiPriority w:val="0"/>
    <w:rPr>
      <w:rFonts w:hint="eastAsia" w:ascii="微软雅黑" w:hAnsi="微软雅黑" w:eastAsia="微软雅黑" w:cs="微软雅黑"/>
      <w:color w:val="FF0000"/>
      <w:sz w:val="22"/>
      <w:szCs w:val="22"/>
      <w:u w:val="none"/>
    </w:rPr>
  </w:style>
  <w:style w:type="character" w:customStyle="1" w:styleId="18">
    <w:name w:val="font41"/>
    <w:basedOn w:val="15"/>
    <w:qFormat/>
    <w:uiPriority w:val="0"/>
    <w:rPr>
      <w:rFonts w:hint="eastAsia" w:ascii="微软雅黑" w:hAnsi="微软雅黑" w:eastAsia="微软雅黑" w:cs="微软雅黑"/>
      <w:color w:val="000000"/>
      <w:sz w:val="22"/>
      <w:szCs w:val="22"/>
      <w:u w:val="none"/>
    </w:rPr>
  </w:style>
  <w:style w:type="character" w:customStyle="1" w:styleId="19">
    <w:name w:val="font71"/>
    <w:basedOn w:val="15"/>
    <w:qFormat/>
    <w:uiPriority w:val="0"/>
    <w:rPr>
      <w:rFonts w:hint="default" w:ascii="Times New Roman" w:hAnsi="Times New Roman" w:cs="Times New Roman"/>
      <w:color w:val="000000"/>
      <w:sz w:val="22"/>
      <w:szCs w:val="22"/>
      <w:u w:val="none"/>
    </w:rPr>
  </w:style>
  <w:style w:type="character" w:customStyle="1" w:styleId="20">
    <w:name w:val="font81"/>
    <w:basedOn w:val="15"/>
    <w:qFormat/>
    <w:uiPriority w:val="0"/>
    <w:rPr>
      <w:rFonts w:hint="eastAsia" w:ascii="宋体" w:hAnsi="宋体" w:eastAsia="宋体" w:cs="宋体"/>
      <w:color w:val="FF0000"/>
      <w:sz w:val="22"/>
      <w:szCs w:val="22"/>
      <w:u w:val="none"/>
    </w:rPr>
  </w:style>
  <w:style w:type="character" w:customStyle="1" w:styleId="21">
    <w:name w:val="font51"/>
    <w:basedOn w:val="15"/>
    <w:qFormat/>
    <w:uiPriority w:val="0"/>
    <w:rPr>
      <w:rFonts w:hint="eastAsia" w:ascii="微软雅黑" w:hAnsi="微软雅黑" w:eastAsia="微软雅黑" w:cs="微软雅黑"/>
      <w:color w:val="000000"/>
      <w:sz w:val="22"/>
      <w:szCs w:val="22"/>
      <w:u w:val="none"/>
    </w:rPr>
  </w:style>
  <w:style w:type="character" w:customStyle="1" w:styleId="22">
    <w:name w:val="font91"/>
    <w:basedOn w:val="15"/>
    <w:qFormat/>
    <w:uiPriority w:val="0"/>
    <w:rPr>
      <w:rFonts w:hint="eastAsia" w:ascii="宋体" w:hAnsi="宋体" w:eastAsia="宋体" w:cs="宋体"/>
      <w:color w:val="FF0000"/>
      <w:sz w:val="22"/>
      <w:szCs w:val="22"/>
      <w:u w:val="none"/>
    </w:rPr>
  </w:style>
  <w:style w:type="character" w:customStyle="1" w:styleId="23">
    <w:name w:val="页眉 Char"/>
    <w:basedOn w:val="15"/>
    <w:link w:val="7"/>
    <w:qFormat/>
    <w:uiPriority w:val="0"/>
    <w:rPr>
      <w:rFonts w:asciiTheme="minorHAnsi" w:hAnsiTheme="minorHAnsi" w:eastAsiaTheme="minorEastAsia" w:cstheme="minorBidi"/>
      <w:kern w:val="2"/>
      <w:sz w:val="18"/>
      <w:szCs w:val="18"/>
    </w:rPr>
  </w:style>
  <w:style w:type="character" w:customStyle="1" w:styleId="24">
    <w:name w:val="页脚 Char"/>
    <w:basedOn w:val="15"/>
    <w:link w:val="6"/>
    <w:qFormat/>
    <w:uiPriority w:val="0"/>
    <w:rPr>
      <w:rFonts w:asciiTheme="minorHAnsi" w:hAnsiTheme="minorHAnsi" w:eastAsiaTheme="minorEastAsia" w:cstheme="minorBidi"/>
      <w:kern w:val="2"/>
      <w:sz w:val="18"/>
      <w:szCs w:val="18"/>
    </w:rPr>
  </w:style>
  <w:style w:type="character" w:customStyle="1" w:styleId="25">
    <w:name w:val="font11"/>
    <w:basedOn w:val="15"/>
    <w:qFormat/>
    <w:uiPriority w:val="0"/>
    <w:rPr>
      <w:rFonts w:hint="eastAsia" w:ascii="宋体" w:hAnsi="宋体" w:eastAsia="宋体" w:cs="宋体"/>
      <w:color w:val="000000"/>
      <w:sz w:val="20"/>
      <w:szCs w:val="20"/>
      <w:u w:val="none"/>
    </w:rPr>
  </w:style>
  <w:style w:type="character" w:customStyle="1" w:styleId="26">
    <w:name w:val="font101"/>
    <w:basedOn w:val="15"/>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29</Pages>
  <Words>10217</Words>
  <Characters>11922</Characters>
  <Lines>66</Lines>
  <Paragraphs>18</Paragraphs>
  <TotalTime>6</TotalTime>
  <ScaleCrop>false</ScaleCrop>
  <LinksUpToDate>false</LinksUpToDate>
  <CharactersWithSpaces>12373</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2025-09-01T03:32:00Z</cp:lastPrinted>
  <dcterms:modified xsi:type="dcterms:W3CDTF">2026-01-30T06:16:18Z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BE62696D8D25430EB4979C673A7188CE_13</vt:lpwstr>
  </property>
  <property fmtid="{D5CDD505-2E9C-101B-9397-08002B2CF9AE}" pid="4" name="KSOTemplateDocerSaveRecord">
    <vt:lpwstr>eyJoZGlkIjoiYWVjMjE1MTMwNzFjODEzOGMzYjc1MWQ0NTRmNTc1OWIiLCJ1c2VySWQiOiI2NDEyNjgyMDAifQ==</vt:lpwstr>
  </property>
</Properties>
</file>