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299">
      <w:pPr>
        <w:overflowPunct w:val="0"/>
        <w:rPr>
          <w:rFonts w:ascii="黑体" w:hAnsi="宋体" w:eastAsia="黑体" w:cs="Times New Roman"/>
          <w:color w:val="auto"/>
          <w:sz w:val="44"/>
          <w:szCs w:val="44"/>
        </w:rPr>
      </w:pPr>
    </w:p>
    <w:p w14:paraId="6235B335">
      <w:pPr>
        <w:overflowPunct w:val="0"/>
        <w:spacing w:line="360" w:lineRule="auto"/>
        <w:jc w:val="center"/>
        <w:rPr>
          <w:rFonts w:ascii="宋体" w:hAnsi="宋体" w:eastAsia="宋体" w:cs="宋体"/>
          <w:b/>
          <w:color w:val="auto"/>
          <w:sz w:val="48"/>
          <w:szCs w:val="48"/>
        </w:rPr>
      </w:pPr>
    </w:p>
    <w:p w14:paraId="24C924C3">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第一批次10个矿山生态修复涉及的砂石资源价值评估报告编制</w:t>
      </w:r>
    </w:p>
    <w:p w14:paraId="2D465FA1">
      <w:pPr>
        <w:overflowPunct w:val="0"/>
        <w:spacing w:line="360" w:lineRule="auto"/>
        <w:jc w:val="center"/>
        <w:rPr>
          <w:rFonts w:ascii="宋体" w:hAnsi="宋体" w:eastAsia="宋体" w:cs="宋体"/>
          <w:b/>
          <w:bCs/>
          <w:color w:val="auto"/>
          <w:spacing w:val="30"/>
          <w:w w:val="90"/>
          <w:sz w:val="52"/>
          <w:szCs w:val="52"/>
        </w:rPr>
      </w:pPr>
    </w:p>
    <w:p w14:paraId="11606C1F">
      <w:pPr>
        <w:pStyle w:val="8"/>
        <w:rPr>
          <w:rFonts w:ascii="宋体" w:hAnsi="宋体" w:eastAsia="宋体" w:cs="宋体"/>
          <w:b/>
          <w:bCs/>
          <w:color w:val="auto"/>
          <w:spacing w:val="30"/>
          <w:w w:val="90"/>
          <w:sz w:val="52"/>
          <w:szCs w:val="52"/>
        </w:rPr>
      </w:pPr>
    </w:p>
    <w:p w14:paraId="3BD3E71C">
      <w:pPr>
        <w:pStyle w:val="11"/>
        <w:rPr>
          <w:color w:val="auto"/>
        </w:rPr>
      </w:pPr>
    </w:p>
    <w:p w14:paraId="0A36B129">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13D79E79">
      <w:pPr>
        <w:overflowPunct w:val="0"/>
        <w:jc w:val="center"/>
        <w:rPr>
          <w:rFonts w:ascii="宋体" w:hAnsi="宋体" w:eastAsia="宋体" w:cs="宋体"/>
          <w:b/>
          <w:color w:val="auto"/>
          <w:sz w:val="28"/>
          <w:szCs w:val="28"/>
        </w:rPr>
      </w:pPr>
    </w:p>
    <w:p w14:paraId="055CEF45">
      <w:pPr>
        <w:overflowPunct w:val="0"/>
        <w:jc w:val="center"/>
        <w:rPr>
          <w:rFonts w:ascii="宋体" w:hAnsi="宋体" w:eastAsia="宋体" w:cs="宋体"/>
          <w:color w:val="auto"/>
          <w:sz w:val="44"/>
          <w:szCs w:val="44"/>
        </w:rPr>
      </w:pPr>
    </w:p>
    <w:p w14:paraId="613F29F1">
      <w:pPr>
        <w:overflowPunct w:val="0"/>
        <w:jc w:val="center"/>
        <w:rPr>
          <w:rFonts w:ascii="宋体" w:hAnsi="宋体" w:eastAsia="宋体" w:cs="宋体"/>
          <w:color w:val="auto"/>
          <w:sz w:val="44"/>
          <w:szCs w:val="44"/>
        </w:rPr>
      </w:pPr>
    </w:p>
    <w:p w14:paraId="7B7C1500">
      <w:pPr>
        <w:overflowPunct w:val="0"/>
        <w:rPr>
          <w:rFonts w:ascii="宋体" w:hAnsi="宋体" w:eastAsia="宋体" w:cs="宋体"/>
          <w:color w:val="auto"/>
          <w:sz w:val="32"/>
        </w:rPr>
      </w:pPr>
    </w:p>
    <w:p w14:paraId="7AD5E7EA">
      <w:pPr>
        <w:overflowPunct w:val="0"/>
        <w:ind w:firstLine="420"/>
        <w:rPr>
          <w:rFonts w:ascii="宋体" w:hAnsi="宋体" w:eastAsia="宋体" w:cs="宋体"/>
          <w:color w:val="auto"/>
          <w:sz w:val="32"/>
        </w:rPr>
      </w:pPr>
    </w:p>
    <w:p w14:paraId="1C2535E8">
      <w:pPr>
        <w:overflowPunct w:val="0"/>
        <w:rPr>
          <w:rFonts w:ascii="宋体" w:hAnsi="宋体" w:eastAsia="宋体" w:cs="宋体"/>
          <w:color w:val="auto"/>
          <w:sz w:val="32"/>
        </w:rPr>
      </w:pPr>
    </w:p>
    <w:p w14:paraId="072146CC">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浏阳市榴花旅游开发有限公司</w:t>
      </w:r>
    </w:p>
    <w:p w14:paraId="5735144D">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14:paraId="2BEC3414">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十一</w:t>
      </w:r>
      <w:r>
        <w:rPr>
          <w:rFonts w:hint="eastAsia" w:ascii="宋体" w:hAnsi="宋体" w:eastAsia="宋体" w:cs="宋体"/>
          <w:color w:val="auto"/>
          <w:sz w:val="28"/>
          <w:szCs w:val="28"/>
          <w:lang w:eastAsia="zh-CN"/>
        </w:rPr>
        <w:t>月</w:t>
      </w:r>
    </w:p>
    <w:p w14:paraId="086ED5F7">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第一批次10个矿山生态修复涉及的砂石资源价值</w:t>
      </w:r>
    </w:p>
    <w:p w14:paraId="07F8B568">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评估报告编制招标公告</w:t>
      </w:r>
    </w:p>
    <w:p w14:paraId="5C730F5F">
      <w:pPr>
        <w:pStyle w:val="8"/>
        <w:rPr>
          <w:rFonts w:hint="eastAsia"/>
          <w:color w:val="auto"/>
          <w:lang w:val="en-US" w:eastAsia="zh-CN"/>
        </w:rPr>
      </w:pPr>
    </w:p>
    <w:bookmarkEnd w:id="0"/>
    <w:p w14:paraId="29D82C8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第一批次10个矿山生态修复涉及的砂石资源价值评估报告编制</w:t>
      </w:r>
    </w:p>
    <w:p w14:paraId="0918639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hint="eastAsia" w:ascii="宋体" w:hAnsi="宋体" w:eastAsia="宋体" w:cs="宋体"/>
          <w:b/>
          <w:bCs/>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0A9D091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450000.00元</w:t>
      </w:r>
    </w:p>
    <w:p w14:paraId="5FC7CB6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完成浏阳市高坪乡金墙坑采石场、浏阳市高坪乡马鞍采石场、浏阳市高坪神龙建材有限公司、浏阳市高坪磊鑫采石场、浏阳市高坪河西采石场、浏阳市高坪大坡采石场、浏阳市张坊长富采石场、浏阳市永和七宝山石灰石矿、浏阳市焦溪宏永得采石场、浏阳市文家市镇岩前采石场10个矿山生态修复涉及的砂石资源价值评估，并出具评估报告。</w:t>
      </w:r>
      <w:bookmarkEnd w:id="1"/>
    </w:p>
    <w:bookmarkEnd w:id="2"/>
    <w:p w14:paraId="61ECC69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5E0DC71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33EDE88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02A2591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0A717D0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2524858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96318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5ED02DC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797AEE3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2024年8月至2024年10月</w:t>
      </w:r>
      <w:r>
        <w:rPr>
          <w:rFonts w:hint="eastAsia" w:ascii="宋体" w:hAnsi="宋体" w:eastAsia="宋体" w:cs="Times New Roman"/>
          <w:color w:val="auto"/>
          <w:sz w:val="24"/>
          <w:szCs w:val="24"/>
        </w:rPr>
        <w:t>。</w:t>
      </w:r>
    </w:p>
    <w:p w14:paraId="1D7FCCF6">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77893A54">
      <w:pPr>
        <w:pStyle w:val="2"/>
        <w:numPr>
          <w:ilvl w:val="0"/>
          <w:numId w:val="0"/>
        </w:numPr>
        <w:ind w:firstLine="482" w:firstLineChars="200"/>
        <w:rPr>
          <w:rFonts w:hint="eastAsia" w:ascii="宋体" w:hAnsi="宋体" w:eastAsia="宋体" w:cs="Times New Roman"/>
          <w:b/>
          <w:bCs/>
          <w:color w:val="auto"/>
          <w:kern w:val="2"/>
          <w:sz w:val="24"/>
          <w:szCs w:val="24"/>
          <w:highlight w:val="yellow"/>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Times New Roman"/>
          <w:b/>
          <w:bCs/>
          <w:color w:val="auto"/>
          <w:kern w:val="2"/>
          <w:sz w:val="24"/>
          <w:szCs w:val="24"/>
          <w:lang w:val="en-US" w:eastAsia="zh-CN" w:bidi="ar-SA"/>
        </w:rPr>
        <w:t>具有矿业权评估资格证、证券备案资格的评估机构（处于有效期内）。</w:t>
      </w:r>
    </w:p>
    <w:p w14:paraId="2175FCC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3BC3E635">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14:30</w:t>
      </w:r>
      <w:r>
        <w:rPr>
          <w:rFonts w:ascii="宋体" w:hAnsi="宋体" w:eastAsia="宋体" w:cs="Times New Roman"/>
          <w:color w:val="auto"/>
          <w:kern w:val="2"/>
          <w:sz w:val="24"/>
          <w:szCs w:val="24"/>
          <w:u w:val="single"/>
          <w:lang w:val="en-US" w:eastAsia="zh-CN" w:bidi="ar-SA"/>
        </w:rPr>
        <w:t>（北京时间）</w:t>
      </w:r>
    </w:p>
    <w:p w14:paraId="2CCBB6E1">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3DEE3B6D">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14:30</w:t>
      </w:r>
      <w:r>
        <w:rPr>
          <w:rFonts w:hint="eastAsia" w:ascii="宋体" w:hAnsi="宋体" w:eastAsia="宋体" w:cs="Times New Roman"/>
          <w:color w:val="auto"/>
          <w:sz w:val="24"/>
          <w:szCs w:val="24"/>
          <w:u w:val="single"/>
        </w:rPr>
        <w:t>（北京时间）</w:t>
      </w:r>
    </w:p>
    <w:p w14:paraId="00DA0699">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5118DA3E">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w:t>
      </w:r>
      <w:r>
        <w:rPr>
          <w:rFonts w:hint="eastAsia" w:ascii="宋体" w:hAnsi="宋体" w:eastAsia="宋体" w:cs="Times New Roman"/>
          <w:color w:val="auto"/>
          <w:kern w:val="2"/>
          <w:sz w:val="24"/>
          <w:szCs w:val="24"/>
          <w:u w:val="single"/>
          <w:lang w:val="en-US" w:eastAsia="zh-CN" w:bidi="ar-SA"/>
        </w:rPr>
        <w:t>年11月30日</w:t>
      </w:r>
      <w:r>
        <w:rPr>
          <w:rFonts w:hint="eastAsia" w:ascii="宋体" w:hAnsi="宋体" w:eastAsia="宋体" w:cs="Times New Roman"/>
          <w:color w:val="auto"/>
          <w:kern w:val="2"/>
          <w:sz w:val="24"/>
          <w:szCs w:val="24"/>
          <w:u w:val="single"/>
          <w:lang w:val="en-US" w:eastAsia="zh-CN" w:bidi="ar-SA"/>
        </w:rPr>
        <w:t xml:space="preserve">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14:paraId="6278155B">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1039BED">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390A2D74">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4EA66E6B">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w:t>
      </w:r>
      <w:bookmarkStart w:id="3" w:name="OLE_LINK5"/>
      <w:r>
        <w:rPr>
          <w:rFonts w:hint="eastAsia" w:ascii="宋体" w:hAnsi="宋体" w:eastAsia="宋体" w:cs="Times New Roman"/>
          <w:b/>
          <w:bCs/>
          <w:color w:val="auto"/>
          <w:kern w:val="2"/>
          <w:sz w:val="24"/>
          <w:szCs w:val="24"/>
          <w:lang w:val="en-US" w:eastAsia="zh-CN" w:bidi="ar-SA"/>
        </w:rPr>
        <w:t>特别说明</w:t>
      </w:r>
    </w:p>
    <w:p w14:paraId="074A8C4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1、中标人应是具有矿业权评估、证券备案资格的评估机构。</w:t>
      </w:r>
    </w:p>
    <w:p w14:paraId="34A4933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2、中标人对评估资料的真实性、合法性负责；中标人对评估报告书的公允性、合法性负责，并对招标人提供的资料保密。</w:t>
      </w:r>
    </w:p>
    <w:p w14:paraId="7BDDEC3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3、中标人应在招标人提供完整资料之日起7个工作日内向招标人出具评估报告书。</w:t>
      </w:r>
    </w:p>
    <w:p w14:paraId="2ED4A43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Times New Roman"/>
          <w:b/>
          <w:bCs/>
          <w:color w:val="auto"/>
          <w:kern w:val="2"/>
          <w:sz w:val="24"/>
          <w:szCs w:val="24"/>
          <w:highlight w:val="none"/>
          <w:lang w:val="en-US" w:eastAsia="zh-CN" w:bidi="ar-SA"/>
        </w:rPr>
        <w:t>四、</w:t>
      </w:r>
      <w:bookmarkStart w:id="4" w:name="_Toc3730"/>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投标保证金</w:t>
      </w:r>
    </w:p>
    <w:p w14:paraId="4660743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4.1.投标人必须在投标截止时间前，缴纳玖仟元整（￥9000）投标保证金，否则拒收其投标文件。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4B98ADB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340B64F8">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36702D5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户名：浏阳市榴花旅游开发有限公司 </w:t>
      </w:r>
    </w:p>
    <w:p w14:paraId="519341A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银行：中国民生银行浏阳支行</w:t>
      </w:r>
    </w:p>
    <w:p w14:paraId="08E2FC5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账号：637132887</w:t>
      </w:r>
    </w:p>
    <w:p w14:paraId="3D0EC87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6845895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619ED4C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5C3AC3A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779F3AC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459ED99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1A630CD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4"/>
    </w:p>
    <w:p w14:paraId="56B21D5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0158362A">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4BA8A3A8">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0CDA4EBE">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3"/>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148665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浏阳市榴花旅游开发有限公司</w:t>
      </w:r>
    </w:p>
    <w:p w14:paraId="0888888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7818F1C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223D73E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938E9B6">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代理机构：湖南林三建筑科技有限公司</w:t>
      </w:r>
    </w:p>
    <w:p w14:paraId="0E7BF300">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地    址：浏阳市关口街道国际烟花贸易大厦10楼1003室</w:t>
      </w:r>
    </w:p>
    <w:p w14:paraId="7C9CD409">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 xml:space="preserve">联 系 人：周女士     </w:t>
      </w:r>
    </w:p>
    <w:p w14:paraId="5633B123">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电话：13874995334</w:t>
      </w:r>
    </w:p>
    <w:p w14:paraId="05C903F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p>
    <w:p w14:paraId="623F62DA">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11</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27</w:t>
      </w:r>
      <w:r>
        <w:rPr>
          <w:rFonts w:hint="eastAsia" w:ascii="宋体" w:hAnsi="宋体" w:eastAsia="宋体" w:cs="Times New Roman"/>
          <w:color w:val="auto"/>
          <w:sz w:val="24"/>
          <w:szCs w:val="24"/>
        </w:rPr>
        <w:t>日</w:t>
      </w:r>
    </w:p>
    <w:p w14:paraId="250ECCF4">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470885B9">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第一批次10个矿山生态修复涉及的砂</w:t>
      </w:r>
      <w:bookmarkStart w:id="12" w:name="_GoBack"/>
      <w:bookmarkEnd w:id="12"/>
      <w:r>
        <w:rPr>
          <w:rFonts w:hint="eastAsia" w:ascii="宋体" w:hAnsi="宋体" w:eastAsia="宋体" w:cs="宋体"/>
          <w:b/>
          <w:bCs/>
          <w:color w:val="auto"/>
          <w:kern w:val="2"/>
          <w:sz w:val="36"/>
          <w:szCs w:val="36"/>
          <w:lang w:val="en-US" w:eastAsia="zh-CN" w:bidi="ar-SA"/>
        </w:rPr>
        <w:t>石资源价值</w:t>
      </w:r>
    </w:p>
    <w:p w14:paraId="0A26D0C8">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2"/>
          <w:sz w:val="36"/>
          <w:szCs w:val="36"/>
          <w:lang w:val="en-US" w:eastAsia="zh-CN" w:bidi="ar-SA"/>
        </w:rPr>
        <w:t>评估报告编制</w:t>
      </w:r>
      <w:r>
        <w:rPr>
          <w:rFonts w:hint="eastAsia" w:ascii="宋体" w:hAnsi="宋体" w:eastAsia="宋体" w:cs="宋体"/>
          <w:b/>
          <w:bCs/>
          <w:color w:val="auto"/>
          <w:kern w:val="0"/>
          <w:sz w:val="36"/>
          <w:szCs w:val="36"/>
          <w:lang w:val="en-US" w:eastAsia="zh-CN" w:bidi="ar-SA"/>
        </w:rPr>
        <w:t>招标文件</w:t>
      </w:r>
    </w:p>
    <w:p w14:paraId="4B8C6F3B">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湖南林三建筑科技有限公司受浏阳市榴花旅游开发有限公司委托，就其</w:t>
      </w:r>
      <w:r>
        <w:rPr>
          <w:rFonts w:hint="eastAsia" w:ascii="宋体" w:hAnsi="宋体" w:eastAsia="宋体" w:cs="宋体"/>
          <w:color w:val="auto"/>
          <w:kern w:val="2"/>
          <w:sz w:val="24"/>
          <w:szCs w:val="24"/>
          <w:lang w:val="en-US" w:eastAsia="zh-CN" w:bidi="ar-SA"/>
        </w:rPr>
        <w:t>第一批次10个矿山生态修复涉及的砂石资源价值评估报告编制</w:t>
      </w:r>
      <w:r>
        <w:rPr>
          <w:rFonts w:hint="eastAsia" w:ascii="宋体" w:hAnsi="宋体" w:eastAsia="宋体" w:cs="宋体"/>
          <w:color w:val="auto"/>
          <w:kern w:val="0"/>
          <w:sz w:val="24"/>
          <w:szCs w:val="24"/>
          <w:lang w:val="en-US" w:eastAsia="zh-CN" w:bidi="ar-SA"/>
        </w:rPr>
        <w:t>进行采购，现进行公开招标。</w:t>
      </w:r>
    </w:p>
    <w:p w14:paraId="3A7629EC">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完成浏阳市高坪乡金墙坑采石场、浏阳市高坪乡马鞍采石场、浏阳市高坪神龙建材有限公司、浏阳市高坪磊鑫采石场、浏阳市高坪河西采石场、浏阳市高坪大坡采石场、浏阳市张坊长富采石场、浏阳市永和七宝山石灰石矿、浏阳市焦溪宏永得采石场、浏阳市文家市镇岩前采石场10个矿山生态修复涉及的砂石资源价值评估，并出具评估报告。</w:t>
      </w:r>
    </w:p>
    <w:p w14:paraId="66BF985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14:paraId="3F349706">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2572F6E9">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color w:val="auto"/>
          <w:sz w:val="24"/>
          <w:szCs w:val="24"/>
          <w:lang w:val="en-US" w:eastAsia="zh-CN"/>
        </w:rPr>
        <w:t>服务</w:t>
      </w:r>
      <w:r>
        <w:rPr>
          <w:rFonts w:hint="eastAsia" w:eastAsia="宋体" w:cs="宋体"/>
          <w:b/>
          <w:color w:val="auto"/>
          <w:sz w:val="24"/>
          <w:szCs w:val="24"/>
          <w:lang w:val="en-US" w:eastAsia="zh-CN"/>
        </w:rPr>
        <w:t>时间</w:t>
      </w:r>
      <w:r>
        <w:rPr>
          <w:rFonts w:hint="eastAsia" w:ascii="宋体" w:hAnsi="宋体" w:eastAsia="宋体" w:cs="宋体"/>
          <w:b/>
          <w:color w:val="auto"/>
          <w:sz w:val="24"/>
          <w:szCs w:val="24"/>
          <w:lang w:val="en-US" w:eastAsia="zh-CN"/>
        </w:rPr>
        <w:t>：</w:t>
      </w:r>
      <w:r>
        <w:rPr>
          <w:rFonts w:hint="eastAsia" w:eastAsia="宋体" w:cs="宋体"/>
          <w:b w:val="0"/>
          <w:bCs w:val="0"/>
          <w:color w:val="auto"/>
          <w:sz w:val="24"/>
          <w:szCs w:val="24"/>
          <w:lang w:val="en-US" w:eastAsia="zh-CN"/>
        </w:rPr>
        <w:t>中标人应在招标人提供完整资料之日起7个工作日内向招标人出具评估报告书。</w:t>
      </w:r>
    </w:p>
    <w:p w14:paraId="4AB06EC5">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五、服务要求：</w:t>
      </w:r>
      <w:r>
        <w:rPr>
          <w:rFonts w:hint="default" w:ascii="宋体" w:hAnsi="宋体" w:eastAsia="宋体" w:cs="宋体"/>
          <w:b w:val="0"/>
          <w:bCs w:val="0"/>
          <w:color w:val="auto"/>
          <w:kern w:val="0"/>
          <w:sz w:val="24"/>
          <w:szCs w:val="24"/>
          <w:lang w:val="en-US" w:eastAsia="zh-CN" w:bidi="ar-SA"/>
        </w:rPr>
        <w:t>中标人对评估资料的真实性、合法性负责；中标人对评估报告书的公允性、合法性负责，并对招标人提供的资料保密。</w:t>
      </w:r>
    </w:p>
    <w:p w14:paraId="30B1557D">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、投标资格要求</w:t>
      </w:r>
    </w:p>
    <w:p w14:paraId="25DA372C">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1、基本资格条件：</w:t>
      </w:r>
    </w:p>
    <w:p w14:paraId="2121476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323884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17C0C0E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8月至2024年10月）依法缴纳税收的证明（纳税凭证复印件），或者委托他人缴纳的委托代办协议和近三个月内任意一个月（2024年8月至2024年10月）的缴纳证明（收据复印件），或者法定征收机关出具的依法免缴税收的证明原件。</w:t>
      </w:r>
    </w:p>
    <w:p w14:paraId="5E70AC4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44093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0EC5C4A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lang w:val="en-US" w:eastAsia="zh-CN" w:bidi="ar-SA"/>
        </w:rPr>
        <w:t>6.2、特定资格条件：</w:t>
      </w:r>
      <w:r>
        <w:rPr>
          <w:rFonts w:hint="eastAsia" w:ascii="宋体" w:hAnsi="宋体" w:eastAsia="宋体" w:cs="宋体"/>
          <w:b/>
          <w:bCs/>
          <w:color w:val="auto"/>
          <w:spacing w:val="-2"/>
          <w:kern w:val="0"/>
          <w:sz w:val="24"/>
          <w:szCs w:val="24"/>
          <w:lang w:val="en-US" w:eastAsia="zh-CN" w:bidi="ar-SA"/>
        </w:rPr>
        <w:t>具有矿业权评估资格证、证券备案资格的评估机构（处于有效期内）。</w:t>
      </w:r>
    </w:p>
    <w:p w14:paraId="5C416A1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6.3、投标人有下列情形之一的，视为无效投标：</w:t>
      </w:r>
    </w:p>
    <w:p w14:paraId="1DD55D2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671E7B6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3E0B8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5053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3D1CB86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105ABEF7">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：450000.00元</w:t>
      </w:r>
    </w:p>
    <w:p w14:paraId="6C2950B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bookmarkStart w:id="5" w:name="_Toc359570304"/>
      <w:bookmarkStart w:id="6" w:name="_Toc401742306"/>
      <w:r>
        <w:rPr>
          <w:rFonts w:hint="eastAsia" w:ascii="宋体" w:hAnsi="宋体" w:eastAsia="宋体" w:cs="宋体"/>
          <w:b/>
          <w:bCs w:val="0"/>
          <w:color w:val="auto"/>
          <w:kern w:val="2"/>
          <w:sz w:val="24"/>
          <w:szCs w:val="24"/>
          <w:lang w:val="en-US" w:eastAsia="zh-CN" w:bidi="ar-SA"/>
        </w:rPr>
        <w:t>其他要求：</w:t>
      </w:r>
      <w:bookmarkEnd w:id="5"/>
      <w:bookmarkEnd w:id="6"/>
    </w:p>
    <w:p w14:paraId="723459BD">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9.1、验收</w:t>
      </w:r>
    </w:p>
    <w:p w14:paraId="51083E39">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14:paraId="65060F27">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9.2、结算方法</w:t>
      </w:r>
    </w:p>
    <w:p w14:paraId="04175D67">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9.2.1、付款人：浏阳市榴花旅游开发有限公司</w:t>
      </w:r>
    </w:p>
    <w:p w14:paraId="64AC5798">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9.2.2、付款方式：提交报告成果经招标人确认后一次性支付款项。</w:t>
      </w:r>
    </w:p>
    <w:p w14:paraId="217E7CB2">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9.4、特别说明</w:t>
      </w:r>
    </w:p>
    <w:p w14:paraId="7DB22F23">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9.4.1、中标人自中标之日起3日内须与招标人联系并签订合同，否则视为自动放弃中标。</w:t>
      </w:r>
    </w:p>
    <w:p w14:paraId="1463F78F">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9.4.2、中标人未在约定期限内出具评估报告，每逾期一天，支付违约金2000元，逾期7日以上，招标人有权单方解除合同，并要求受托费支付按评估收费30%计算的违约金。</w:t>
      </w:r>
    </w:p>
    <w:p w14:paraId="6E947AD2">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9.4.3、中标人在评估现场进行评估所发生的交通、住宿、餐饮等费用均包含在评估费内，招标人不在另行支付任何费用。</w:t>
      </w:r>
    </w:p>
    <w:p w14:paraId="22C0CD7B">
      <w:pPr>
        <w:keepNext w:val="0"/>
        <w:keepLines w:val="0"/>
        <w:pageBreakBefore w:val="0"/>
        <w:widowControl w:val="0"/>
        <w:kinsoku/>
        <w:wordWrap/>
        <w:overflowPunct/>
        <w:topLinePunct w:val="0"/>
        <w:autoSpaceDE/>
        <w:autoSpaceDN/>
        <w:bidi w:val="0"/>
        <w:snapToGrid/>
        <w:spacing w:line="520" w:lineRule="exact"/>
        <w:ind w:firstLine="42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十、投标文件的编制、密封、递交</w:t>
      </w:r>
    </w:p>
    <w:p w14:paraId="4C5555D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5827A0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3A6E0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53E0976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499DC95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3FC7D25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0A0AF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C85906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3731B33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7A5B988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3075C4D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十一、投标文件递交</w:t>
      </w:r>
    </w:p>
    <w:p w14:paraId="392C863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Times New Roman"/>
          <w:color w:val="auto"/>
          <w:sz w:val="24"/>
          <w:szCs w:val="24"/>
          <w:lang w:val="en-US" w:eastAsia="zh-CN"/>
        </w:rPr>
        <w:t xml:space="preserve"> 2024年12月4日14时30分</w:t>
      </w:r>
      <w:r>
        <w:rPr>
          <w:rFonts w:hint="eastAsia" w:ascii="宋体" w:hAnsi="宋体" w:eastAsia="宋体" w:cs="宋体"/>
          <w:color w:val="auto"/>
          <w:sz w:val="24"/>
          <w:szCs w:val="24"/>
        </w:rPr>
        <w:t>。开标地点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EB0AED">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429827520"/>
      <w:bookmarkStart w:id="8"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36AC97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57FFEB43">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2B35FEC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4C9988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63DDE89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39B988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F8039C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261652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7E24389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146738A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29FCE7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浏阳市榴花旅游开发有限公司</w:t>
      </w:r>
    </w:p>
    <w:p w14:paraId="21EC884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1C541F8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6C31BB0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A8A626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14:paraId="7E261D6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14:paraId="515EF0A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14:paraId="2C483FEA">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14:paraId="51F38480">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7"/>
    <w:bookmarkEnd w:id="8"/>
    <w:p w14:paraId="52B858C5">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546010E">
      <w:pPr>
        <w:widowControl/>
        <w:overflowPunct w:val="0"/>
        <w:rPr>
          <w:rFonts w:ascii="仿宋_GB2312" w:hAnsi="Times New Roman" w:eastAsia="仿宋_GB2312" w:cs="Times New Roman"/>
          <w:color w:val="auto"/>
          <w:sz w:val="32"/>
        </w:rPr>
      </w:pPr>
    </w:p>
    <w:p w14:paraId="105D019A">
      <w:pPr>
        <w:overflowPunct w:val="0"/>
        <w:spacing w:beforeLines="100"/>
        <w:jc w:val="center"/>
        <w:rPr>
          <w:rFonts w:ascii="宋体" w:hAnsi="宋体" w:eastAsia="宋体" w:cs="宋体"/>
          <w:bCs/>
          <w:color w:val="auto"/>
          <w:sz w:val="36"/>
          <w:szCs w:val="36"/>
        </w:rPr>
      </w:pPr>
    </w:p>
    <w:p w14:paraId="69366930">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第一批次10个矿山生态修复涉及的砂石资源价值评估报告编制</w:t>
      </w:r>
    </w:p>
    <w:p w14:paraId="2F496B3E">
      <w:pPr>
        <w:pStyle w:val="2"/>
        <w:rPr>
          <w:rFonts w:hint="eastAsia" w:ascii="宋体" w:hAnsi="宋体" w:eastAsia="宋体" w:cs="宋体"/>
          <w:bCs/>
          <w:color w:val="auto"/>
          <w:sz w:val="36"/>
          <w:szCs w:val="36"/>
          <w:lang w:eastAsia="zh-CN"/>
        </w:rPr>
      </w:pPr>
    </w:p>
    <w:p w14:paraId="0A3D87BD">
      <w:pPr>
        <w:rPr>
          <w:rFonts w:hint="eastAsia"/>
          <w:color w:val="auto"/>
          <w:lang w:eastAsia="zh-CN"/>
        </w:rPr>
      </w:pPr>
    </w:p>
    <w:p w14:paraId="7BD2A2BF">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046E4877">
      <w:pPr>
        <w:widowControl/>
        <w:overflowPunct w:val="0"/>
        <w:rPr>
          <w:rFonts w:ascii="仿宋_GB2312" w:hAnsi="Times New Roman" w:eastAsia="仿宋_GB2312" w:cs="Times New Roman"/>
          <w:color w:val="auto"/>
          <w:sz w:val="32"/>
        </w:rPr>
      </w:pPr>
    </w:p>
    <w:p w14:paraId="3BAECA32">
      <w:pPr>
        <w:widowControl/>
        <w:overflowPunct w:val="0"/>
        <w:rPr>
          <w:rFonts w:ascii="仿宋_GB2312" w:hAnsi="Times New Roman" w:eastAsia="仿宋_GB2312" w:cs="Times New Roman"/>
          <w:color w:val="auto"/>
          <w:sz w:val="32"/>
        </w:rPr>
      </w:pPr>
    </w:p>
    <w:p w14:paraId="66060135">
      <w:pPr>
        <w:widowControl/>
        <w:overflowPunct w:val="0"/>
        <w:rPr>
          <w:rFonts w:ascii="仿宋_GB2312" w:hAnsi="Times New Roman" w:eastAsia="仿宋_GB2312" w:cs="Times New Roman"/>
          <w:color w:val="auto"/>
          <w:sz w:val="32"/>
        </w:rPr>
      </w:pPr>
    </w:p>
    <w:p w14:paraId="07CDAAB5">
      <w:pPr>
        <w:widowControl/>
        <w:overflowPunct w:val="0"/>
        <w:rPr>
          <w:rFonts w:ascii="仿宋_GB2312" w:hAnsi="Times New Roman" w:eastAsia="仿宋_GB2312" w:cs="Times New Roman"/>
          <w:color w:val="auto"/>
          <w:sz w:val="32"/>
        </w:rPr>
      </w:pPr>
    </w:p>
    <w:p w14:paraId="4B6E2C71">
      <w:pPr>
        <w:widowControl/>
        <w:overflowPunct w:val="0"/>
        <w:rPr>
          <w:rFonts w:ascii="仿宋_GB2312" w:hAnsi="Times New Roman" w:eastAsia="仿宋_GB2312" w:cs="Times New Roman"/>
          <w:color w:val="auto"/>
          <w:sz w:val="32"/>
        </w:rPr>
      </w:pPr>
    </w:p>
    <w:p w14:paraId="40531260">
      <w:pPr>
        <w:widowControl/>
        <w:overflowPunct w:val="0"/>
        <w:rPr>
          <w:rFonts w:ascii="仿宋_GB2312" w:hAnsi="Times New Roman" w:eastAsia="仿宋_GB2312" w:cs="Times New Roman"/>
          <w:color w:val="auto"/>
          <w:sz w:val="32"/>
        </w:rPr>
      </w:pPr>
    </w:p>
    <w:p w14:paraId="2C9DE400">
      <w:pPr>
        <w:overflowPunct w:val="0"/>
        <w:jc w:val="left"/>
        <w:rPr>
          <w:rFonts w:ascii="黑体" w:hAnsi="Times New Roman" w:eastAsia="黑体" w:cs="Times New Roman"/>
          <w:color w:val="auto"/>
          <w:sz w:val="24"/>
          <w:szCs w:val="28"/>
        </w:rPr>
      </w:pPr>
    </w:p>
    <w:p w14:paraId="7328FA09">
      <w:pPr>
        <w:overflowPunct w:val="0"/>
        <w:jc w:val="left"/>
        <w:rPr>
          <w:rFonts w:ascii="黑体" w:hAnsi="Times New Roman" w:eastAsia="黑体" w:cs="Times New Roman"/>
          <w:color w:val="auto"/>
          <w:sz w:val="24"/>
          <w:szCs w:val="28"/>
        </w:rPr>
      </w:pPr>
    </w:p>
    <w:p w14:paraId="1D4E5509">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690F2669">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4FF044EB">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47B6AFB3">
      <w:pPr>
        <w:spacing w:line="420" w:lineRule="exact"/>
        <w:jc w:val="center"/>
        <w:rPr>
          <w:rFonts w:ascii="仿宋" w:hAnsi="仿宋" w:eastAsia="仿宋" w:cs="仿宋"/>
          <w:color w:val="auto"/>
          <w:sz w:val="24"/>
        </w:rPr>
      </w:pPr>
    </w:p>
    <w:p w14:paraId="0DCACFB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1B21E08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2DA3D2B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D85681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55B7A02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62E4776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F2B8E9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11F24385">
      <w:pPr>
        <w:spacing w:line="420" w:lineRule="exact"/>
        <w:ind w:firstLine="480"/>
        <w:rPr>
          <w:rFonts w:ascii="宋体" w:hAnsi="宋体" w:eastAsia="宋体" w:cs="Times New Roman"/>
          <w:color w:val="auto"/>
          <w:sz w:val="24"/>
        </w:rPr>
      </w:pPr>
    </w:p>
    <w:p w14:paraId="2A57A423">
      <w:pPr>
        <w:spacing w:line="420" w:lineRule="exact"/>
        <w:jc w:val="center"/>
        <w:rPr>
          <w:rFonts w:ascii="仿宋" w:hAnsi="仿宋" w:eastAsia="仿宋" w:cs="仿宋"/>
          <w:color w:val="auto"/>
          <w:sz w:val="24"/>
        </w:rPr>
      </w:pPr>
    </w:p>
    <w:p w14:paraId="7276FF10">
      <w:pPr>
        <w:spacing w:line="420" w:lineRule="exact"/>
        <w:jc w:val="center"/>
        <w:rPr>
          <w:rFonts w:ascii="仿宋" w:hAnsi="仿宋" w:eastAsia="仿宋" w:cs="仿宋"/>
          <w:color w:val="auto"/>
          <w:sz w:val="24"/>
        </w:rPr>
      </w:pPr>
    </w:p>
    <w:p w14:paraId="3BDA9834">
      <w:pPr>
        <w:spacing w:line="420" w:lineRule="exact"/>
        <w:jc w:val="center"/>
        <w:rPr>
          <w:rFonts w:ascii="仿宋" w:hAnsi="仿宋" w:eastAsia="仿宋" w:cs="仿宋"/>
          <w:color w:val="auto"/>
          <w:sz w:val="24"/>
        </w:rPr>
      </w:pPr>
    </w:p>
    <w:p w14:paraId="66E5772F">
      <w:pPr>
        <w:spacing w:line="420" w:lineRule="exact"/>
        <w:jc w:val="center"/>
        <w:rPr>
          <w:rFonts w:ascii="仿宋" w:hAnsi="仿宋" w:eastAsia="仿宋" w:cs="仿宋"/>
          <w:color w:val="auto"/>
          <w:sz w:val="24"/>
        </w:rPr>
      </w:pPr>
    </w:p>
    <w:p w14:paraId="755BCD9C">
      <w:pPr>
        <w:spacing w:line="420" w:lineRule="exact"/>
        <w:jc w:val="center"/>
        <w:rPr>
          <w:rFonts w:ascii="仿宋" w:hAnsi="仿宋" w:eastAsia="仿宋" w:cs="仿宋"/>
          <w:color w:val="auto"/>
          <w:sz w:val="24"/>
        </w:rPr>
      </w:pPr>
    </w:p>
    <w:p w14:paraId="07D3823E">
      <w:pPr>
        <w:spacing w:line="420" w:lineRule="exact"/>
        <w:jc w:val="center"/>
        <w:rPr>
          <w:rFonts w:ascii="仿宋" w:hAnsi="仿宋" w:eastAsia="仿宋" w:cs="仿宋"/>
          <w:color w:val="auto"/>
          <w:sz w:val="24"/>
        </w:rPr>
      </w:pPr>
    </w:p>
    <w:p w14:paraId="1752FB25">
      <w:pPr>
        <w:spacing w:line="420" w:lineRule="exact"/>
        <w:jc w:val="center"/>
        <w:rPr>
          <w:rFonts w:ascii="仿宋" w:hAnsi="仿宋" w:eastAsia="仿宋" w:cs="仿宋"/>
          <w:color w:val="auto"/>
          <w:sz w:val="24"/>
        </w:rPr>
      </w:pPr>
    </w:p>
    <w:p w14:paraId="58698001">
      <w:pPr>
        <w:spacing w:line="420" w:lineRule="exact"/>
        <w:jc w:val="center"/>
        <w:rPr>
          <w:rFonts w:ascii="仿宋" w:hAnsi="仿宋" w:eastAsia="仿宋" w:cs="仿宋"/>
          <w:color w:val="auto"/>
          <w:sz w:val="24"/>
        </w:rPr>
      </w:pPr>
    </w:p>
    <w:p w14:paraId="541C20F8">
      <w:pPr>
        <w:spacing w:line="420" w:lineRule="exact"/>
        <w:jc w:val="center"/>
        <w:rPr>
          <w:rFonts w:ascii="仿宋" w:hAnsi="仿宋" w:eastAsia="仿宋" w:cs="仿宋"/>
          <w:color w:val="auto"/>
          <w:sz w:val="24"/>
        </w:rPr>
      </w:pPr>
    </w:p>
    <w:p w14:paraId="51E01ACB">
      <w:pPr>
        <w:spacing w:line="420" w:lineRule="exact"/>
        <w:jc w:val="center"/>
        <w:rPr>
          <w:rFonts w:ascii="仿宋" w:hAnsi="仿宋" w:eastAsia="仿宋" w:cs="仿宋"/>
          <w:color w:val="auto"/>
          <w:sz w:val="24"/>
        </w:rPr>
      </w:pPr>
    </w:p>
    <w:p w14:paraId="43EC5F9C">
      <w:pPr>
        <w:spacing w:line="420" w:lineRule="exact"/>
        <w:jc w:val="center"/>
        <w:rPr>
          <w:rFonts w:ascii="仿宋" w:hAnsi="仿宋" w:eastAsia="仿宋" w:cs="仿宋"/>
          <w:color w:val="auto"/>
          <w:sz w:val="24"/>
        </w:rPr>
      </w:pPr>
    </w:p>
    <w:p w14:paraId="66D2BFE2">
      <w:pPr>
        <w:spacing w:line="420" w:lineRule="exact"/>
        <w:jc w:val="center"/>
        <w:rPr>
          <w:rFonts w:ascii="仿宋" w:hAnsi="仿宋" w:eastAsia="仿宋" w:cs="仿宋"/>
          <w:color w:val="auto"/>
          <w:sz w:val="24"/>
        </w:rPr>
      </w:pPr>
    </w:p>
    <w:p w14:paraId="483D2439">
      <w:pPr>
        <w:spacing w:line="420" w:lineRule="exact"/>
        <w:jc w:val="center"/>
        <w:rPr>
          <w:rFonts w:ascii="仿宋" w:hAnsi="仿宋" w:eastAsia="仿宋" w:cs="仿宋"/>
          <w:color w:val="auto"/>
          <w:sz w:val="24"/>
        </w:rPr>
      </w:pPr>
    </w:p>
    <w:p w14:paraId="05C240CB">
      <w:pPr>
        <w:spacing w:line="420" w:lineRule="exact"/>
        <w:jc w:val="center"/>
        <w:rPr>
          <w:rFonts w:ascii="仿宋" w:hAnsi="仿宋" w:eastAsia="仿宋" w:cs="仿宋"/>
          <w:color w:val="auto"/>
          <w:sz w:val="24"/>
        </w:rPr>
      </w:pPr>
    </w:p>
    <w:p w14:paraId="3D0F32A3">
      <w:pPr>
        <w:spacing w:line="420" w:lineRule="exact"/>
        <w:jc w:val="center"/>
        <w:rPr>
          <w:rFonts w:ascii="仿宋" w:hAnsi="仿宋" w:eastAsia="仿宋" w:cs="仿宋"/>
          <w:color w:val="auto"/>
          <w:sz w:val="24"/>
        </w:rPr>
      </w:pPr>
    </w:p>
    <w:p w14:paraId="14C32235">
      <w:pPr>
        <w:spacing w:line="420" w:lineRule="exact"/>
        <w:jc w:val="center"/>
        <w:rPr>
          <w:rFonts w:ascii="仿宋" w:hAnsi="仿宋" w:eastAsia="仿宋" w:cs="仿宋"/>
          <w:color w:val="auto"/>
          <w:sz w:val="24"/>
        </w:rPr>
      </w:pPr>
    </w:p>
    <w:p w14:paraId="0ECF8F40">
      <w:pPr>
        <w:spacing w:line="420" w:lineRule="exact"/>
        <w:jc w:val="center"/>
        <w:rPr>
          <w:rFonts w:ascii="仿宋" w:hAnsi="仿宋" w:eastAsia="仿宋" w:cs="仿宋"/>
          <w:color w:val="auto"/>
          <w:sz w:val="24"/>
        </w:rPr>
      </w:pPr>
    </w:p>
    <w:p w14:paraId="31D40F32">
      <w:pPr>
        <w:spacing w:line="420" w:lineRule="exact"/>
        <w:jc w:val="center"/>
        <w:rPr>
          <w:rFonts w:ascii="仿宋" w:hAnsi="仿宋" w:eastAsia="仿宋" w:cs="仿宋"/>
          <w:color w:val="auto"/>
          <w:sz w:val="24"/>
        </w:rPr>
      </w:pPr>
    </w:p>
    <w:p w14:paraId="477CB65C">
      <w:pPr>
        <w:spacing w:line="420" w:lineRule="exact"/>
        <w:jc w:val="center"/>
        <w:rPr>
          <w:rFonts w:ascii="仿宋" w:hAnsi="仿宋" w:eastAsia="仿宋" w:cs="仿宋"/>
          <w:color w:val="auto"/>
          <w:sz w:val="24"/>
        </w:rPr>
      </w:pPr>
    </w:p>
    <w:p w14:paraId="6CE88416">
      <w:pPr>
        <w:spacing w:line="420" w:lineRule="exact"/>
        <w:jc w:val="center"/>
        <w:rPr>
          <w:rFonts w:ascii="仿宋" w:hAnsi="仿宋" w:eastAsia="仿宋" w:cs="仿宋"/>
          <w:color w:val="auto"/>
          <w:sz w:val="24"/>
        </w:rPr>
      </w:pPr>
    </w:p>
    <w:p w14:paraId="4EC63479">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03DFFD9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0083D4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309E618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E917C25">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768DC1E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19711A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8E9CC5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3F5D8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4E0A944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DE820B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1764665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4BEE9985">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3E1B1BF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A37DC4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1080D5E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B340EE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74E5AC7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1A0585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EA51C9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49C11F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32F41F1">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5982D3A3">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744AF33D">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4A9C1E61">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9"/>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1C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4E1BF6D">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309B061E">
            <w:pPr>
              <w:spacing w:line="700" w:lineRule="exact"/>
              <w:jc w:val="center"/>
              <w:rPr>
                <w:rFonts w:ascii="宋体" w:hAnsi="宋体" w:eastAsia="宋体" w:cs="Times New Roman"/>
                <w:color w:val="auto"/>
                <w:sz w:val="24"/>
                <w:szCs w:val="24"/>
              </w:rPr>
            </w:pPr>
          </w:p>
        </w:tc>
      </w:tr>
      <w:tr w14:paraId="3F3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491CDDF">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7AC88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第一批次10个矿山生态修复涉及的砂石资源价值评估报告编制</w:t>
            </w:r>
          </w:p>
        </w:tc>
      </w:tr>
      <w:tr w14:paraId="0BE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5F5C2E9">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2E6051C9">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294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E3F8C5C">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38359675">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390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62161FB">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服务期</w:t>
            </w:r>
          </w:p>
          <w:p w14:paraId="7A016E16">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rPr>
              <w:t>承诺</w:t>
            </w:r>
          </w:p>
        </w:tc>
        <w:tc>
          <w:tcPr>
            <w:tcW w:w="7348" w:type="dxa"/>
            <w:vAlign w:val="center"/>
          </w:tcPr>
          <w:p w14:paraId="60B7E3B7">
            <w:pPr>
              <w:spacing w:line="400" w:lineRule="exact"/>
              <w:jc w:val="center"/>
              <w:rPr>
                <w:rFonts w:ascii="宋体" w:hAnsi="宋体" w:eastAsia="宋体" w:cs="宋体"/>
                <w:color w:val="auto"/>
                <w:sz w:val="24"/>
                <w:szCs w:val="24"/>
              </w:rPr>
            </w:pPr>
            <w:r>
              <w:rPr>
                <w:rFonts w:hint="eastAsia" w:eastAsia="宋体" w:cs="宋体"/>
                <w:b w:val="0"/>
                <w:bCs w:val="0"/>
                <w:color w:val="auto"/>
                <w:sz w:val="24"/>
                <w:szCs w:val="24"/>
                <w:lang w:val="en-US" w:eastAsia="zh-CN"/>
              </w:rPr>
              <w:t>中标人应在招标人提供完整资料之日起7个工作日内向招标人出具评估报告书</w:t>
            </w:r>
          </w:p>
        </w:tc>
      </w:tr>
      <w:tr w14:paraId="2FE3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14:paraId="69A4BF5E">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05B841A8">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21D7C336">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提交报告成果经招标人确认后一次性支付款项。</w:t>
            </w:r>
          </w:p>
        </w:tc>
      </w:tr>
      <w:tr w14:paraId="1E27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EFFB07">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6AD5A862">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325E4497">
      <w:pPr>
        <w:pStyle w:val="11"/>
        <w:rPr>
          <w:rFonts w:hint="eastAsia"/>
          <w:color w:val="auto"/>
          <w:lang w:val="en-US" w:eastAsia="zh-CN"/>
        </w:rPr>
      </w:pPr>
    </w:p>
    <w:p w14:paraId="06C1E06A">
      <w:pPr>
        <w:spacing w:line="400" w:lineRule="exact"/>
        <w:jc w:val="center"/>
        <w:rPr>
          <w:rFonts w:hint="eastAsia" w:ascii="宋体" w:hAnsi="宋体" w:eastAsia="宋体" w:cs="宋体"/>
          <w:color w:val="auto"/>
          <w:sz w:val="24"/>
          <w:szCs w:val="24"/>
          <w:lang w:val="sq-AL" w:eastAsia="zh-CN"/>
        </w:rPr>
      </w:pPr>
    </w:p>
    <w:p w14:paraId="4EC3DDC5">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3C787894">
      <w:pPr>
        <w:spacing w:line="400" w:lineRule="exact"/>
        <w:jc w:val="center"/>
        <w:rPr>
          <w:rFonts w:hint="eastAsia" w:ascii="宋体" w:hAnsi="宋体" w:eastAsia="宋体" w:cs="宋体"/>
          <w:color w:val="auto"/>
          <w:sz w:val="24"/>
          <w:szCs w:val="24"/>
          <w:lang w:val="sq-AL"/>
        </w:rPr>
      </w:pPr>
    </w:p>
    <w:p w14:paraId="10E7E205">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3316D1A1">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65C4BC2">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48DE5210">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6B3E05C1">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9"/>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457"/>
        <w:gridCol w:w="1341"/>
        <w:gridCol w:w="1298"/>
        <w:gridCol w:w="1766"/>
        <w:gridCol w:w="2074"/>
      </w:tblGrid>
      <w:tr w14:paraId="3F4AB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070B221E">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14:paraId="225C296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14:paraId="29EAD2F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14:paraId="463E6F90">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14:paraId="7F06B39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14:paraId="31003E4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4FD12D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FE31F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2849D6D">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1097948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13CA0C0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9984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DCB35E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CD134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5DD6BB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49C23E7">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606E96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CD50B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501930D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54A1FE4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4335E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57E076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1AE2A4C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BEAD1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9F005D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0FF1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623A9A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394A5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1BA386B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C1D9E4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7DB1D6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46CB73F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115A7F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1F9B4D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0A520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7DF9526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0F531C8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14:paraId="193656E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759BB2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24E378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0FC080D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196F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76737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2F42D6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14:paraId="50C28FD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653700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D2DD2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485DF71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14:paraId="1338A9FF">
      <w:pPr>
        <w:spacing w:line="360" w:lineRule="exact"/>
        <w:ind w:firstLine="241" w:firstLineChars="100"/>
        <w:rPr>
          <w:rFonts w:hint="eastAsia" w:ascii="宋体" w:hAnsi="宋体" w:eastAsia="宋体" w:cs="宋体"/>
          <w:b/>
          <w:color w:val="auto"/>
          <w:sz w:val="24"/>
          <w:szCs w:val="24"/>
        </w:rPr>
      </w:pPr>
    </w:p>
    <w:p w14:paraId="6A825B42">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665D6489">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3976F97">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68449AA7">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14:paraId="2C8A3916">
      <w:pPr>
        <w:adjustRightInd w:val="0"/>
        <w:snapToGrid w:val="0"/>
        <w:spacing w:line="360" w:lineRule="auto"/>
        <w:jc w:val="center"/>
        <w:rPr>
          <w:rFonts w:hint="eastAsia" w:ascii="宋体" w:hAnsi="宋体" w:eastAsia="宋体" w:cs="宋体"/>
          <w:b/>
          <w:color w:val="auto"/>
          <w:sz w:val="32"/>
          <w:szCs w:val="32"/>
        </w:rPr>
      </w:pPr>
    </w:p>
    <w:p w14:paraId="2337E67C">
      <w:pPr>
        <w:adjustRightInd w:val="0"/>
        <w:snapToGrid w:val="0"/>
        <w:spacing w:line="360" w:lineRule="auto"/>
        <w:jc w:val="center"/>
        <w:rPr>
          <w:rFonts w:hint="eastAsia" w:ascii="宋体" w:hAnsi="宋体" w:eastAsia="宋体" w:cs="宋体"/>
          <w:b/>
          <w:color w:val="auto"/>
          <w:sz w:val="32"/>
          <w:szCs w:val="32"/>
        </w:rPr>
      </w:pPr>
    </w:p>
    <w:p w14:paraId="76051FC6">
      <w:pPr>
        <w:adjustRightInd w:val="0"/>
        <w:snapToGrid w:val="0"/>
        <w:spacing w:line="360" w:lineRule="auto"/>
        <w:jc w:val="both"/>
        <w:rPr>
          <w:rFonts w:hint="eastAsia" w:ascii="宋体" w:hAnsi="宋体" w:eastAsia="宋体" w:cs="宋体"/>
          <w:b/>
          <w:color w:val="auto"/>
          <w:sz w:val="32"/>
          <w:szCs w:val="32"/>
        </w:rPr>
      </w:pPr>
    </w:p>
    <w:p w14:paraId="29D0DC61">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14B4259D">
      <w:pPr>
        <w:adjustRightInd w:val="0"/>
        <w:snapToGrid w:val="0"/>
        <w:ind w:left="-88" w:leftChars="-42" w:firstLine="281" w:firstLineChars="100"/>
        <w:jc w:val="center"/>
        <w:rPr>
          <w:rFonts w:ascii="宋体" w:hAnsi="宋体" w:eastAsia="宋体" w:cs="Times New Roman"/>
          <w:b/>
          <w:bCs/>
          <w:color w:val="auto"/>
          <w:sz w:val="28"/>
          <w:szCs w:val="28"/>
        </w:rPr>
      </w:pPr>
    </w:p>
    <w:p w14:paraId="2189FA0C">
      <w:pPr>
        <w:adjustRightInd w:val="0"/>
        <w:snapToGrid w:val="0"/>
        <w:ind w:left="-88" w:leftChars="-42" w:firstLine="210" w:firstLineChars="100"/>
        <w:rPr>
          <w:rFonts w:ascii="宋体" w:hAnsi="宋体" w:eastAsia="宋体" w:cs="Times New Roman"/>
          <w:bCs/>
          <w:color w:val="auto"/>
          <w:sz w:val="21"/>
          <w:szCs w:val="21"/>
        </w:rPr>
      </w:pPr>
    </w:p>
    <w:p w14:paraId="3FE43E67">
      <w:pPr>
        <w:adjustRightInd w:val="0"/>
        <w:snapToGrid w:val="0"/>
        <w:ind w:left="-88" w:leftChars="-42" w:firstLine="210" w:firstLineChars="100"/>
        <w:rPr>
          <w:rFonts w:ascii="宋体" w:hAnsi="宋体" w:eastAsia="宋体" w:cs="Times New Roman"/>
          <w:color w:val="auto"/>
          <w:sz w:val="21"/>
          <w:szCs w:val="21"/>
        </w:rPr>
      </w:pPr>
    </w:p>
    <w:p w14:paraId="17DFAD3F">
      <w:pPr>
        <w:adjustRightInd w:val="0"/>
        <w:snapToGrid w:val="0"/>
        <w:ind w:left="-88" w:leftChars="-42"/>
        <w:outlineLvl w:val="0"/>
        <w:rPr>
          <w:rFonts w:hint="eastAsia" w:ascii="宋体" w:hAnsi="宋体" w:eastAsia="宋体" w:cs="宋体"/>
          <w:bCs/>
          <w:color w:val="auto"/>
          <w:sz w:val="24"/>
          <w:szCs w:val="24"/>
        </w:rPr>
      </w:pPr>
    </w:p>
    <w:p w14:paraId="020823D7">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AAC7E5B">
      <w:pPr>
        <w:adjustRightInd w:val="0"/>
        <w:snapToGrid w:val="0"/>
        <w:rPr>
          <w:rFonts w:hint="eastAsia" w:ascii="宋体" w:hAnsi="宋体" w:eastAsia="宋体" w:cs="宋体"/>
          <w:color w:val="auto"/>
          <w:sz w:val="24"/>
          <w:szCs w:val="24"/>
        </w:rPr>
      </w:pPr>
    </w:p>
    <w:p w14:paraId="0489F26B">
      <w:pPr>
        <w:adjustRightInd w:val="0"/>
        <w:snapToGrid w:val="0"/>
        <w:rPr>
          <w:rFonts w:hint="eastAsia" w:ascii="宋体" w:hAnsi="宋体" w:eastAsia="宋体" w:cs="宋体"/>
          <w:color w:val="auto"/>
          <w:sz w:val="24"/>
          <w:szCs w:val="24"/>
        </w:rPr>
      </w:pPr>
    </w:p>
    <w:p w14:paraId="2B01176F">
      <w:pPr>
        <w:adjustRightInd w:val="0"/>
        <w:snapToGrid w:val="0"/>
        <w:rPr>
          <w:rFonts w:hint="eastAsia" w:ascii="宋体" w:hAnsi="宋体" w:eastAsia="宋体" w:cs="宋体"/>
          <w:color w:val="auto"/>
          <w:sz w:val="24"/>
          <w:szCs w:val="24"/>
        </w:rPr>
      </w:pPr>
    </w:p>
    <w:p w14:paraId="29B2E473">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65361892">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38736F43">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448FC290">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67C26B4E">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9"/>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DFF23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747F966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47FF07F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0474A39F">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10BFB2E8">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5953F1BB">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EED44B0">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5D10D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0545A6E">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16233B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346F4A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EAB714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46AC02C">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9FA5AC7">
            <w:pPr>
              <w:adjustRightInd w:val="0"/>
              <w:snapToGrid w:val="0"/>
              <w:ind w:left="-88" w:leftChars="-42"/>
              <w:jc w:val="center"/>
              <w:rPr>
                <w:rFonts w:ascii="宋体" w:hAnsi="宋体" w:eastAsia="宋体" w:cs="Times New Roman"/>
                <w:color w:val="auto"/>
                <w:sz w:val="24"/>
                <w:szCs w:val="24"/>
              </w:rPr>
            </w:pPr>
          </w:p>
        </w:tc>
      </w:tr>
      <w:tr w14:paraId="2E496F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77E398D">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21DA8C2">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CD2E56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6AB92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53A6B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CC7462">
            <w:pPr>
              <w:adjustRightInd w:val="0"/>
              <w:snapToGrid w:val="0"/>
              <w:ind w:left="-88" w:leftChars="-42"/>
              <w:jc w:val="center"/>
              <w:rPr>
                <w:rFonts w:ascii="宋体" w:hAnsi="宋体" w:eastAsia="宋体" w:cs="Times New Roman"/>
                <w:color w:val="auto"/>
                <w:sz w:val="24"/>
                <w:szCs w:val="24"/>
              </w:rPr>
            </w:pPr>
          </w:p>
        </w:tc>
      </w:tr>
      <w:tr w14:paraId="4013E06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881453A">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8FCCD5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EE2848B">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228409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45171A8">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2250F6B">
            <w:pPr>
              <w:adjustRightInd w:val="0"/>
              <w:snapToGrid w:val="0"/>
              <w:ind w:left="-88" w:leftChars="-42"/>
              <w:jc w:val="center"/>
              <w:rPr>
                <w:rFonts w:ascii="宋体" w:hAnsi="宋体" w:eastAsia="宋体" w:cs="Times New Roman"/>
                <w:color w:val="auto"/>
                <w:sz w:val="24"/>
                <w:szCs w:val="24"/>
              </w:rPr>
            </w:pPr>
          </w:p>
        </w:tc>
      </w:tr>
      <w:tr w14:paraId="29A59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FC4A7BB">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4F2D6E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6B24CE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405C49">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2821BE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54B5119">
            <w:pPr>
              <w:adjustRightInd w:val="0"/>
              <w:snapToGrid w:val="0"/>
              <w:ind w:left="-88" w:leftChars="-42"/>
              <w:jc w:val="center"/>
              <w:rPr>
                <w:rFonts w:ascii="宋体" w:hAnsi="宋体" w:eastAsia="宋体" w:cs="Times New Roman"/>
                <w:color w:val="auto"/>
                <w:sz w:val="24"/>
                <w:szCs w:val="24"/>
              </w:rPr>
            </w:pPr>
          </w:p>
        </w:tc>
      </w:tr>
      <w:tr w14:paraId="6C76D86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C89954C">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00A6568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9AE46B1">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88D6A3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94624D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952FEE3">
            <w:pPr>
              <w:adjustRightInd w:val="0"/>
              <w:snapToGrid w:val="0"/>
              <w:ind w:left="-88" w:leftChars="-42"/>
              <w:jc w:val="center"/>
              <w:rPr>
                <w:rFonts w:ascii="宋体" w:hAnsi="宋体" w:eastAsia="宋体" w:cs="Times New Roman"/>
                <w:color w:val="auto"/>
                <w:sz w:val="24"/>
                <w:szCs w:val="24"/>
              </w:rPr>
            </w:pPr>
          </w:p>
        </w:tc>
      </w:tr>
      <w:tr w14:paraId="77CD33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21166DB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5C9EB3D">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2C6A29BD">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622222F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65300F1">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244DED8">
            <w:pPr>
              <w:adjustRightInd w:val="0"/>
              <w:snapToGrid w:val="0"/>
              <w:ind w:left="-88" w:leftChars="-42"/>
              <w:jc w:val="center"/>
              <w:rPr>
                <w:rFonts w:ascii="宋体" w:hAnsi="宋体" w:eastAsia="宋体" w:cs="Times New Roman"/>
                <w:color w:val="auto"/>
                <w:sz w:val="24"/>
                <w:szCs w:val="24"/>
              </w:rPr>
            </w:pPr>
          </w:p>
        </w:tc>
      </w:tr>
    </w:tbl>
    <w:p w14:paraId="1630576F">
      <w:pPr>
        <w:rPr>
          <w:rFonts w:hint="eastAsia" w:ascii="Times New Roman" w:hAnsi="Times New Roman" w:eastAsia="宋体" w:cs="Times New Roman"/>
          <w:color w:val="auto"/>
          <w:sz w:val="24"/>
          <w:szCs w:val="24"/>
        </w:rPr>
      </w:pPr>
    </w:p>
    <w:p w14:paraId="4E3D62BA">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1B98B37D">
      <w:pPr>
        <w:adjustRightInd w:val="0"/>
        <w:snapToGrid w:val="0"/>
        <w:ind w:left="-88" w:leftChars="-42"/>
        <w:rPr>
          <w:rFonts w:ascii="宋体" w:hAnsi="宋体" w:eastAsia="宋体" w:cs="Times New Roman"/>
          <w:color w:val="auto"/>
          <w:sz w:val="24"/>
          <w:szCs w:val="24"/>
        </w:rPr>
      </w:pPr>
    </w:p>
    <w:p w14:paraId="4931C307">
      <w:pPr>
        <w:adjustRightInd w:val="0"/>
        <w:snapToGrid w:val="0"/>
        <w:ind w:left="-88" w:leftChars="-42"/>
        <w:rPr>
          <w:rFonts w:ascii="宋体" w:hAnsi="宋体" w:eastAsia="宋体" w:cs="Times New Roman"/>
          <w:color w:val="auto"/>
          <w:sz w:val="24"/>
          <w:szCs w:val="24"/>
        </w:rPr>
      </w:pPr>
    </w:p>
    <w:p w14:paraId="61713E39">
      <w:pPr>
        <w:adjustRightInd w:val="0"/>
        <w:snapToGrid w:val="0"/>
        <w:ind w:left="-88" w:leftChars="-42"/>
        <w:rPr>
          <w:rFonts w:ascii="宋体" w:hAnsi="宋体" w:eastAsia="宋体" w:cs="Times New Roman"/>
          <w:color w:val="auto"/>
          <w:sz w:val="24"/>
          <w:szCs w:val="24"/>
        </w:rPr>
      </w:pPr>
    </w:p>
    <w:p w14:paraId="6E61DC53">
      <w:pPr>
        <w:widowControl w:val="0"/>
        <w:ind w:firstLine="480" w:firstLineChars="200"/>
        <w:jc w:val="both"/>
        <w:rPr>
          <w:rFonts w:ascii="宋体" w:hAnsi="宋体" w:eastAsia="宋体" w:cs="Times New Roman"/>
          <w:color w:val="auto"/>
          <w:kern w:val="2"/>
          <w:sz w:val="24"/>
          <w:szCs w:val="24"/>
          <w:lang w:val="en-US" w:eastAsia="zh-CN" w:bidi="ar-SA"/>
        </w:rPr>
      </w:pPr>
    </w:p>
    <w:p w14:paraId="112C4E44">
      <w:pPr>
        <w:widowControl w:val="0"/>
        <w:ind w:firstLine="480" w:firstLineChars="200"/>
        <w:jc w:val="both"/>
        <w:rPr>
          <w:rFonts w:ascii="宋体" w:hAnsi="宋体" w:eastAsia="宋体" w:cs="Times New Roman"/>
          <w:color w:val="auto"/>
          <w:kern w:val="2"/>
          <w:sz w:val="24"/>
          <w:szCs w:val="24"/>
          <w:lang w:val="en-US" w:eastAsia="zh-CN" w:bidi="ar-SA"/>
        </w:rPr>
      </w:pPr>
    </w:p>
    <w:p w14:paraId="1C31C0B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1579336E">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7EE71C47">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3876381A">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3A9D883F">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679B5E6F">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DB65472">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3F03CFB">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5DEB0AD9">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7221A20C">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FE790B0">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F055DE8">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75835B1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688CD9A9">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D118B86">
      <w:pPr>
        <w:spacing w:line="400" w:lineRule="exact"/>
        <w:jc w:val="right"/>
        <w:rPr>
          <w:rFonts w:hint="eastAsia" w:ascii="宋体" w:hAnsi="宋体" w:eastAsia="宋体" w:cs="宋体"/>
          <w:color w:val="auto"/>
          <w:sz w:val="24"/>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33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B03BE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9911BA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4EAC3D9E">
      <w:pPr>
        <w:spacing w:line="400" w:lineRule="exact"/>
        <w:jc w:val="right"/>
        <w:rPr>
          <w:rFonts w:hint="eastAsia" w:ascii="宋体" w:hAnsi="宋体" w:eastAsia="宋体" w:cs="宋体"/>
          <w:color w:val="auto"/>
          <w:sz w:val="24"/>
        </w:rPr>
      </w:pPr>
    </w:p>
    <w:p w14:paraId="4CAEFBB1">
      <w:pPr>
        <w:spacing w:line="400" w:lineRule="exact"/>
        <w:jc w:val="right"/>
        <w:rPr>
          <w:rFonts w:hint="eastAsia" w:ascii="宋体" w:hAnsi="宋体" w:eastAsia="宋体" w:cs="宋体"/>
          <w:color w:val="auto"/>
          <w:sz w:val="24"/>
        </w:rPr>
      </w:pPr>
    </w:p>
    <w:p w14:paraId="502BC597">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300BEB7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6886EF07">
      <w:pPr>
        <w:spacing w:line="400" w:lineRule="exact"/>
        <w:ind w:right="600"/>
        <w:rPr>
          <w:rFonts w:hint="eastAsia" w:ascii="宋体" w:hAnsi="宋体" w:eastAsia="宋体" w:cs="宋体"/>
          <w:b/>
          <w:color w:val="auto"/>
          <w:sz w:val="24"/>
        </w:rPr>
      </w:pPr>
    </w:p>
    <w:p w14:paraId="270038A3">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9" w:name="_Toc193115823"/>
      <w:bookmarkStart w:id="10" w:name="_Toc235592960"/>
      <w:bookmarkStart w:id="11"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78F7F06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7463ED18">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18CC45EF">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9"/>
      <w:bookmarkEnd w:id="10"/>
      <w:bookmarkEnd w:id="11"/>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5E5C3161">
      <w:pPr>
        <w:spacing w:line="400" w:lineRule="exact"/>
        <w:rPr>
          <w:rFonts w:hint="eastAsia" w:ascii="宋体" w:hAnsi="宋体" w:eastAsia="宋体" w:cs="宋体"/>
          <w:color w:val="auto"/>
          <w:sz w:val="32"/>
          <w:szCs w:val="21"/>
        </w:rPr>
      </w:pPr>
    </w:p>
    <w:p w14:paraId="686DDD2E">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A322EB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97BD4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3A34F45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6175D152">
      <w:pPr>
        <w:spacing w:line="240" w:lineRule="exact"/>
        <w:ind w:firstLine="480" w:firstLineChars="200"/>
        <w:rPr>
          <w:rFonts w:hint="eastAsia" w:ascii="宋体" w:hAnsi="宋体" w:eastAsia="宋体" w:cs="宋体"/>
          <w:color w:val="auto"/>
          <w:sz w:val="24"/>
        </w:rPr>
      </w:pPr>
    </w:p>
    <w:p w14:paraId="75B5E9EF">
      <w:pPr>
        <w:spacing w:line="240" w:lineRule="exact"/>
        <w:ind w:firstLine="480" w:firstLineChars="200"/>
        <w:rPr>
          <w:rFonts w:hint="eastAsia" w:ascii="宋体" w:hAnsi="宋体" w:eastAsia="宋体" w:cs="宋体"/>
          <w:color w:val="auto"/>
          <w:sz w:val="24"/>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004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727B1B3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01FC087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44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1A77594">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6E1BC25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2818CFE1">
      <w:pPr>
        <w:spacing w:line="240" w:lineRule="exact"/>
        <w:rPr>
          <w:rFonts w:hint="eastAsia" w:ascii="宋体" w:hAnsi="宋体" w:eastAsia="宋体" w:cs="Times New Roman"/>
          <w:color w:val="auto"/>
          <w:sz w:val="28"/>
          <w:szCs w:val="28"/>
        </w:rPr>
      </w:pPr>
    </w:p>
    <w:p w14:paraId="2E48A729">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5FD6A4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7DB4969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456A5C1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57C4335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D55B4A6">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7888B29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30BAF2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06C171F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75B870D5">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12C7E7C0">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03BB8E67">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9"/>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7A2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B12579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4861979F">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570ED7C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D8662A7">
            <w:pPr>
              <w:shd w:val="clear"/>
              <w:topLinePunct/>
              <w:spacing w:line="440" w:lineRule="exact"/>
              <w:jc w:val="center"/>
              <w:rPr>
                <w:rFonts w:hint="eastAsia" w:ascii="宋体" w:hAnsi="宋体" w:eastAsia="宋体" w:cs="宋体"/>
                <w:color w:val="auto"/>
                <w:sz w:val="24"/>
                <w:szCs w:val="24"/>
              </w:rPr>
            </w:pPr>
          </w:p>
        </w:tc>
      </w:tr>
      <w:tr w14:paraId="6286E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214926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14693ED">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3B1C36A">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C1A29CF">
            <w:pPr>
              <w:shd w:val="clear"/>
              <w:topLinePunct/>
              <w:spacing w:line="440" w:lineRule="exact"/>
              <w:jc w:val="center"/>
              <w:rPr>
                <w:rFonts w:hint="eastAsia" w:ascii="宋体" w:hAnsi="宋体" w:eastAsia="宋体" w:cs="宋体"/>
                <w:color w:val="auto"/>
                <w:sz w:val="24"/>
                <w:szCs w:val="24"/>
              </w:rPr>
            </w:pPr>
          </w:p>
        </w:tc>
      </w:tr>
      <w:tr w14:paraId="383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07D426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887BC12">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97C09D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50C239A">
            <w:pPr>
              <w:shd w:val="clear"/>
              <w:topLinePunct/>
              <w:spacing w:line="440" w:lineRule="exact"/>
              <w:jc w:val="center"/>
              <w:rPr>
                <w:rFonts w:hint="eastAsia" w:ascii="宋体" w:hAnsi="宋体" w:eastAsia="宋体" w:cs="宋体"/>
                <w:color w:val="auto"/>
                <w:sz w:val="24"/>
                <w:szCs w:val="24"/>
              </w:rPr>
            </w:pPr>
          </w:p>
        </w:tc>
      </w:tr>
      <w:tr w14:paraId="5C55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2267A33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B78248F">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551BDF">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987A8F7">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13F5E">
            <w:pPr>
              <w:shd w:val="clear"/>
              <w:topLinePunct/>
              <w:spacing w:line="440" w:lineRule="exact"/>
              <w:ind w:firstLine="120" w:firstLineChars="50"/>
              <w:jc w:val="center"/>
              <w:rPr>
                <w:rFonts w:hint="eastAsia" w:ascii="宋体" w:hAnsi="宋体" w:eastAsia="宋体" w:cs="宋体"/>
                <w:color w:val="auto"/>
                <w:sz w:val="24"/>
                <w:szCs w:val="24"/>
              </w:rPr>
            </w:pPr>
          </w:p>
        </w:tc>
      </w:tr>
      <w:tr w14:paraId="0D877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926F85F">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30FD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E55F647">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2043475">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500F34A2">
            <w:pPr>
              <w:shd w:val="clear"/>
              <w:topLinePunct/>
              <w:spacing w:line="440" w:lineRule="exact"/>
              <w:ind w:firstLine="120" w:firstLineChars="50"/>
              <w:jc w:val="center"/>
              <w:rPr>
                <w:rFonts w:hint="eastAsia" w:ascii="宋体" w:hAnsi="宋体" w:eastAsia="宋体" w:cs="宋体"/>
                <w:color w:val="auto"/>
                <w:sz w:val="24"/>
                <w:szCs w:val="24"/>
              </w:rPr>
            </w:pPr>
          </w:p>
        </w:tc>
      </w:tr>
      <w:tr w14:paraId="3C817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D73823D">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015A39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050A42B">
            <w:pPr>
              <w:shd w:val="clear"/>
              <w:topLinePunct/>
              <w:spacing w:line="440" w:lineRule="exact"/>
              <w:ind w:firstLine="120" w:firstLineChars="50"/>
              <w:jc w:val="center"/>
              <w:rPr>
                <w:rFonts w:hint="eastAsia" w:ascii="宋体" w:hAnsi="宋体" w:eastAsia="宋体" w:cs="宋体"/>
                <w:color w:val="auto"/>
                <w:sz w:val="24"/>
                <w:szCs w:val="24"/>
              </w:rPr>
            </w:pPr>
          </w:p>
        </w:tc>
      </w:tr>
      <w:tr w14:paraId="51D22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492AA8">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5A840E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1F31BDE">
            <w:pPr>
              <w:shd w:val="clear"/>
              <w:topLinePunct/>
              <w:spacing w:line="440" w:lineRule="exact"/>
              <w:ind w:firstLine="120" w:firstLineChars="50"/>
              <w:jc w:val="center"/>
              <w:rPr>
                <w:rFonts w:hint="eastAsia" w:ascii="宋体" w:hAnsi="宋体" w:eastAsia="宋体" w:cs="宋体"/>
                <w:color w:val="auto"/>
                <w:sz w:val="24"/>
                <w:szCs w:val="24"/>
              </w:rPr>
            </w:pPr>
          </w:p>
        </w:tc>
      </w:tr>
      <w:tr w14:paraId="34C37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C9B0CC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8E8EA8">
            <w:pPr>
              <w:shd w:val="clear"/>
              <w:topLinePunct/>
              <w:spacing w:line="440" w:lineRule="exact"/>
              <w:jc w:val="center"/>
              <w:rPr>
                <w:rFonts w:hint="eastAsia" w:ascii="宋体" w:hAnsi="宋体" w:eastAsia="宋体" w:cs="宋体"/>
                <w:color w:val="auto"/>
                <w:sz w:val="24"/>
                <w:szCs w:val="24"/>
              </w:rPr>
            </w:pPr>
          </w:p>
        </w:tc>
      </w:tr>
      <w:tr w14:paraId="49F8B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480E2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EE892EC">
            <w:pPr>
              <w:shd w:val="clear"/>
              <w:topLinePunct/>
              <w:spacing w:line="440" w:lineRule="exact"/>
              <w:jc w:val="center"/>
              <w:rPr>
                <w:rFonts w:hint="eastAsia" w:ascii="宋体" w:hAnsi="宋体" w:eastAsia="宋体" w:cs="宋体"/>
                <w:color w:val="auto"/>
                <w:sz w:val="24"/>
                <w:szCs w:val="24"/>
              </w:rPr>
            </w:pPr>
          </w:p>
        </w:tc>
      </w:tr>
      <w:tr w14:paraId="49E71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151B8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672E0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D0E571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BED0C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4AA85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04DF00">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D0E885">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8C55598">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014D014">
            <w:pPr>
              <w:shd w:val="clear"/>
              <w:topLinePunct/>
              <w:spacing w:line="440" w:lineRule="exact"/>
              <w:jc w:val="center"/>
              <w:rPr>
                <w:rFonts w:hint="eastAsia" w:ascii="宋体" w:hAnsi="宋体" w:eastAsia="宋体" w:cs="宋体"/>
                <w:color w:val="auto"/>
                <w:sz w:val="24"/>
                <w:szCs w:val="24"/>
              </w:rPr>
            </w:pPr>
          </w:p>
        </w:tc>
      </w:tr>
      <w:tr w14:paraId="3C76D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7986FF">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5EBA5B">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7B64D222">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EC26C6">
            <w:pPr>
              <w:shd w:val="clear"/>
              <w:topLinePunct/>
              <w:spacing w:line="440" w:lineRule="exact"/>
              <w:jc w:val="center"/>
              <w:rPr>
                <w:rFonts w:hint="eastAsia" w:ascii="宋体" w:hAnsi="宋体" w:eastAsia="宋体" w:cs="宋体"/>
                <w:color w:val="auto"/>
                <w:sz w:val="24"/>
                <w:szCs w:val="24"/>
              </w:rPr>
            </w:pPr>
          </w:p>
        </w:tc>
      </w:tr>
    </w:tbl>
    <w:p w14:paraId="26BE6E56">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0714A9F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16B00DE">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B9E48AD">
      <w:pPr>
        <w:spacing w:line="480" w:lineRule="exact"/>
        <w:rPr>
          <w:rFonts w:hint="eastAsia" w:ascii="黑体" w:hAnsi="Times New Roman" w:eastAsia="黑体" w:cs="Times New Roman"/>
          <w:color w:val="auto"/>
          <w:sz w:val="30"/>
          <w:szCs w:val="30"/>
        </w:rPr>
      </w:pPr>
    </w:p>
    <w:p w14:paraId="62BF7715">
      <w:pPr>
        <w:pStyle w:val="2"/>
        <w:rPr>
          <w:rFonts w:hint="eastAsia" w:ascii="黑体" w:hAnsi="Times New Roman" w:eastAsia="黑体" w:cs="Times New Roman"/>
          <w:color w:val="auto"/>
          <w:sz w:val="30"/>
          <w:szCs w:val="30"/>
        </w:rPr>
      </w:pPr>
    </w:p>
    <w:p w14:paraId="691B52E0">
      <w:pPr>
        <w:rPr>
          <w:rFonts w:hint="eastAsia" w:ascii="黑体" w:hAnsi="Times New Roman" w:eastAsia="黑体" w:cs="Times New Roman"/>
          <w:color w:val="auto"/>
          <w:sz w:val="30"/>
          <w:szCs w:val="30"/>
        </w:rPr>
      </w:pPr>
    </w:p>
    <w:p w14:paraId="0616BCB3">
      <w:pPr>
        <w:pStyle w:val="2"/>
        <w:rPr>
          <w:rFonts w:hint="eastAsia"/>
          <w:color w:val="auto"/>
        </w:rPr>
      </w:pPr>
    </w:p>
    <w:p w14:paraId="77CF0827">
      <w:pPr>
        <w:spacing w:line="480" w:lineRule="exact"/>
        <w:rPr>
          <w:rFonts w:hint="eastAsia" w:ascii="黑体" w:hAnsi="Times New Roman" w:eastAsia="黑体" w:cs="Times New Roman"/>
          <w:color w:val="auto"/>
          <w:sz w:val="30"/>
          <w:szCs w:val="30"/>
        </w:rPr>
      </w:pPr>
    </w:p>
    <w:p w14:paraId="1ACFBB89">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29BD0DFA">
      <w:pPr>
        <w:rPr>
          <w:rFonts w:ascii="仿宋_GB2312" w:hAnsi="Times New Roman" w:eastAsia="仿宋_GB2312" w:cs="Times New Roman"/>
          <w:color w:val="auto"/>
          <w:sz w:val="32"/>
        </w:rPr>
      </w:pPr>
    </w:p>
    <w:p w14:paraId="6510E140">
      <w:pPr>
        <w:rPr>
          <w:color w:val="auto"/>
        </w:rPr>
      </w:pPr>
    </w:p>
    <w:sectPr>
      <w:footerReference r:id="rId5" w:type="first"/>
      <w:footerReference r:id="rId4"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E17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F926FC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F1E3">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2AE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ZGUyNDRiMjg3ZDVlNDQ4NjQ2MjdiMzdjMTE2YTkifQ=="/>
  </w:docVars>
  <w:rsids>
    <w:rsidRoot w:val="6EDB6AE2"/>
    <w:rsid w:val="00C91C98"/>
    <w:rsid w:val="00FA45D7"/>
    <w:rsid w:val="02A907BA"/>
    <w:rsid w:val="0332754E"/>
    <w:rsid w:val="05066B4B"/>
    <w:rsid w:val="14704FAD"/>
    <w:rsid w:val="175616EA"/>
    <w:rsid w:val="1E256308"/>
    <w:rsid w:val="211D5E33"/>
    <w:rsid w:val="228C58B4"/>
    <w:rsid w:val="245A710E"/>
    <w:rsid w:val="2AB37954"/>
    <w:rsid w:val="2C0938E7"/>
    <w:rsid w:val="2D4144F0"/>
    <w:rsid w:val="311B2556"/>
    <w:rsid w:val="33D571B6"/>
    <w:rsid w:val="350F1133"/>
    <w:rsid w:val="36E25286"/>
    <w:rsid w:val="37210F1A"/>
    <w:rsid w:val="379C3687"/>
    <w:rsid w:val="39822409"/>
    <w:rsid w:val="39CE5B60"/>
    <w:rsid w:val="3E584838"/>
    <w:rsid w:val="458D5F43"/>
    <w:rsid w:val="4BA91A77"/>
    <w:rsid w:val="4D6B792C"/>
    <w:rsid w:val="4E6F6FA8"/>
    <w:rsid w:val="4F2850F6"/>
    <w:rsid w:val="50DF16BE"/>
    <w:rsid w:val="50E46660"/>
    <w:rsid w:val="55CA2B7C"/>
    <w:rsid w:val="55F93DFD"/>
    <w:rsid w:val="568C4808"/>
    <w:rsid w:val="58FE2370"/>
    <w:rsid w:val="5B1B06DE"/>
    <w:rsid w:val="5D6F463D"/>
    <w:rsid w:val="61AB1FD2"/>
    <w:rsid w:val="621A4988"/>
    <w:rsid w:val="63585A33"/>
    <w:rsid w:val="6606399F"/>
    <w:rsid w:val="68D45464"/>
    <w:rsid w:val="6A3D34F5"/>
    <w:rsid w:val="6EDB6AE2"/>
    <w:rsid w:val="6EE271B0"/>
    <w:rsid w:val="7275753E"/>
    <w:rsid w:val="766F031D"/>
    <w:rsid w:val="79994C18"/>
    <w:rsid w:val="7A3936B7"/>
    <w:rsid w:val="7D5B6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3">
    <w:name w:val="annotation text"/>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Indent"/>
    <w:basedOn w:val="1"/>
    <w:next w:val="5"/>
    <w:qFormat/>
    <w:uiPriority w:val="0"/>
    <w:pPr>
      <w:ind w:firstLine="640" w:firstLineChars="200"/>
    </w:pPr>
  </w:style>
  <w:style w:type="paragraph" w:styleId="5">
    <w:name w:val="annotation subject"/>
    <w:next w:val="1"/>
    <w:qFormat/>
    <w:uiPriority w:val="0"/>
    <w:pPr>
      <w:widowControl w:val="0"/>
      <w:jc w:val="both"/>
    </w:pPr>
    <w:rPr>
      <w:rFonts w:ascii="Times New Roman" w:hAnsi="Times New Roman" w:eastAsia="宋体" w:cs="Times New Roman"/>
      <w:b/>
      <w:bCs/>
      <w:kern w:val="2"/>
      <w:sz w:val="21"/>
      <w:szCs w:val="24"/>
      <w:lang w:val="en-US" w:eastAsia="zh-CN" w:bidi="ar-SA"/>
    </w:rPr>
  </w:style>
  <w:style w:type="paragraph" w:styleId="6">
    <w:name w:val="Date"/>
    <w:basedOn w:val="1"/>
    <w:next w:val="1"/>
    <w:qFormat/>
    <w:uiPriority w:val="0"/>
    <w:pPr>
      <w:ind w:left="100" w:leftChars="2500"/>
    </w:pPr>
    <w:rPr>
      <w:rFonts w:ascii="Times New Roman" w:eastAsia="宋体"/>
    </w:rPr>
  </w:style>
  <w:style w:type="paragraph" w:styleId="7">
    <w:name w:val="Body Text Indent 2"/>
    <w:basedOn w:val="1"/>
    <w:next w:val="6"/>
    <w:qFormat/>
    <w:uiPriority w:val="0"/>
    <w:pPr>
      <w:ind w:firstLine="643" w:firstLineChars="200"/>
    </w:pPr>
  </w:style>
  <w:style w:type="paragraph" w:styleId="8">
    <w:name w:val="Body Text First Indent 2"/>
    <w:basedOn w:val="4"/>
    <w:qFormat/>
    <w:uiPriority w:val="0"/>
    <w:pPr>
      <w:spacing w:after="120"/>
      <w:ind w:left="420" w:leftChars="200" w:firstLine="420"/>
    </w:pPr>
  </w:style>
  <w:style w:type="paragraph" w:customStyle="1" w:styleId="11">
    <w:name w:val="正文文本_0"/>
    <w:next w:val="12"/>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2">
    <w:name w:val="正文_0_0"/>
    <w:next w:val="8"/>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6403</Words>
  <Characters>6695</Characters>
  <Lines>0</Lines>
  <Paragraphs>0</Paragraphs>
  <TotalTime>0</TotalTime>
  <ScaleCrop>false</ScaleCrop>
  <LinksUpToDate>false</LinksUpToDate>
  <CharactersWithSpaces>7876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阿淘</cp:lastModifiedBy>
  <cp:lastPrinted>2024-10-28T09:38:00Z</cp:lastPrinted>
  <dcterms:modified xsi:type="dcterms:W3CDTF">2024-11-27T06:23:54Z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063E4E4F6713408BA6D4B1006F5E1F37_11</vt:lpwstr>
  </property>
</Properties>
</file>