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rPr>
          <w:rFonts w:ascii="黑体" w:hAnsi="宋体" w:eastAsia="黑体" w:cs="Times New Roman"/>
          <w:color w:val="auto"/>
          <w:sz w:val="44"/>
          <w:szCs w:val="44"/>
        </w:rPr>
      </w:pPr>
    </w:p>
    <w:p>
      <w:pPr>
        <w:overflowPunct w:val="0"/>
        <w:spacing w:line="360" w:lineRule="auto"/>
        <w:jc w:val="center"/>
        <w:rPr>
          <w:rFonts w:ascii="宋体" w:hAnsi="宋体" w:eastAsia="宋体" w:cs="宋体"/>
          <w:b/>
          <w:color w:val="auto"/>
          <w:sz w:val="48"/>
          <w:szCs w:val="48"/>
        </w:rPr>
      </w:pPr>
    </w:p>
    <w:p>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浏阳市腾退村庄建设用地相关指标收益权评估报告编制（第二次）</w:t>
      </w:r>
    </w:p>
    <w:p>
      <w:pPr>
        <w:overflowPunct w:val="0"/>
        <w:spacing w:line="360" w:lineRule="auto"/>
        <w:jc w:val="center"/>
        <w:rPr>
          <w:rFonts w:ascii="宋体" w:hAnsi="宋体" w:eastAsia="宋体" w:cs="宋体"/>
          <w:b/>
          <w:bCs/>
          <w:color w:val="auto"/>
          <w:spacing w:val="30"/>
          <w:w w:val="90"/>
          <w:sz w:val="52"/>
          <w:szCs w:val="52"/>
        </w:rPr>
      </w:pPr>
    </w:p>
    <w:p>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pPr>
        <w:overflowPunct w:val="0"/>
        <w:jc w:val="center"/>
        <w:rPr>
          <w:rFonts w:ascii="宋体" w:hAnsi="宋体" w:eastAsia="宋体" w:cs="宋体"/>
          <w:b/>
          <w:color w:val="auto"/>
          <w:sz w:val="28"/>
          <w:szCs w:val="28"/>
        </w:rPr>
      </w:pPr>
    </w:p>
    <w:p>
      <w:pPr>
        <w:overflowPunct w:val="0"/>
        <w:jc w:val="center"/>
        <w:rPr>
          <w:rFonts w:ascii="宋体" w:hAnsi="宋体" w:eastAsia="宋体" w:cs="宋体"/>
          <w:color w:val="auto"/>
          <w:sz w:val="44"/>
          <w:szCs w:val="44"/>
        </w:rPr>
      </w:pPr>
    </w:p>
    <w:p>
      <w:pPr>
        <w:overflowPunct w:val="0"/>
        <w:jc w:val="center"/>
        <w:rPr>
          <w:rFonts w:ascii="宋体" w:hAnsi="宋体" w:eastAsia="宋体" w:cs="宋体"/>
          <w:color w:val="auto"/>
          <w:sz w:val="44"/>
          <w:szCs w:val="44"/>
        </w:rPr>
      </w:pPr>
    </w:p>
    <w:p>
      <w:pPr>
        <w:overflowPunct w:val="0"/>
        <w:rPr>
          <w:rFonts w:ascii="宋体" w:hAnsi="宋体" w:eastAsia="宋体" w:cs="宋体"/>
          <w:color w:val="auto"/>
          <w:sz w:val="32"/>
        </w:rPr>
      </w:pPr>
    </w:p>
    <w:p>
      <w:pPr>
        <w:overflowPunct w:val="0"/>
        <w:ind w:firstLine="420"/>
        <w:rPr>
          <w:rFonts w:ascii="宋体" w:hAnsi="宋体" w:eastAsia="宋体" w:cs="宋体"/>
          <w:color w:val="auto"/>
          <w:sz w:val="32"/>
        </w:rPr>
      </w:pPr>
    </w:p>
    <w:p>
      <w:pPr>
        <w:overflowPunct w:val="0"/>
        <w:rPr>
          <w:rFonts w:ascii="宋体" w:hAnsi="宋体" w:eastAsia="宋体" w:cs="宋体"/>
          <w:color w:val="auto"/>
          <w:sz w:val="32"/>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浏阳市浏发乡村振兴产业投资有限公司</w:t>
      </w:r>
    </w:p>
    <w:p>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湖南林三建筑科技有限公司</w:t>
      </w:r>
    </w:p>
    <w:p>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十二</w:t>
      </w:r>
      <w:r>
        <w:rPr>
          <w:rFonts w:hint="eastAsia" w:ascii="宋体" w:hAnsi="宋体" w:eastAsia="宋体" w:cs="宋体"/>
          <w:color w:val="auto"/>
          <w:sz w:val="28"/>
          <w:szCs w:val="28"/>
          <w:lang w:eastAsia="zh-CN"/>
        </w:rPr>
        <w:t>月</w:t>
      </w:r>
    </w:p>
    <w:p>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bookmarkStart w:id="0" w:name="OLE_LINK2"/>
      <w:r>
        <w:rPr>
          <w:rFonts w:hint="eastAsia" w:ascii="宋体" w:hAnsi="宋体" w:eastAsia="宋体" w:cs="宋体"/>
          <w:b/>
          <w:color w:val="auto"/>
          <w:kern w:val="2"/>
          <w:sz w:val="36"/>
          <w:szCs w:val="36"/>
          <w:lang w:val="en-US" w:eastAsia="zh-CN" w:bidi="ar-SA"/>
        </w:rPr>
        <w:t>浏阳市腾退村庄建设用地相关指标收益权</w:t>
      </w:r>
    </w:p>
    <w:p>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评估报告编制（第二次）招标公告</w:t>
      </w:r>
    </w:p>
    <w:p>
      <w:pPr>
        <w:pStyle w:val="8"/>
        <w:rPr>
          <w:rFonts w:hint="eastAsia"/>
          <w:lang w:val="en-US" w:eastAsia="zh-CN"/>
        </w:rPr>
      </w:pPr>
    </w:p>
    <w:bookmarkEnd w:id="0"/>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360" w:lineRule="auto"/>
        <w:ind w:firstLine="482" w:firstLineChars="200"/>
        <w:jc w:val="left"/>
        <w:textAlignment w:val="auto"/>
        <w:rPr>
          <w:rFonts w:hint="eastAsia"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浏阳市腾退村庄建设用地相关指标收益权评估报告编制（第二次）</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360" w:lineRule="auto"/>
        <w:ind w:left="0" w:leftChars="0" w:firstLine="482" w:firstLineChars="200"/>
        <w:jc w:val="left"/>
        <w:textAlignment w:val="auto"/>
        <w:rPr>
          <w:rFonts w:hint="eastAsia" w:ascii="宋体" w:hAnsi="宋体" w:eastAsia="宋体" w:cs="宋体"/>
          <w:b/>
          <w:bCs/>
          <w:color w:val="auto"/>
          <w:kern w:val="2"/>
          <w:sz w:val="24"/>
          <w:szCs w:val="24"/>
          <w:lang w:val="en-US" w:eastAsia="zh-CN" w:bidi="ar-SA"/>
        </w:rPr>
      </w:pPr>
      <w:bookmarkStart w:id="1" w:name="OLE_LINK4"/>
      <w:bookmarkStart w:id="2" w:name="OLE_LINK1"/>
      <w:r>
        <w:rPr>
          <w:rFonts w:ascii="宋体" w:hAnsi="宋体" w:eastAsia="宋体" w:cs="Times New Roman"/>
          <w:b/>
          <w:bCs/>
          <w:color w:val="auto"/>
          <w:kern w:val="2"/>
          <w:sz w:val="24"/>
          <w:szCs w:val="24"/>
          <w:lang w:val="en-US" w:eastAsia="zh-CN" w:bidi="ar-SA"/>
        </w:rPr>
        <w:t>采购</w:t>
      </w:r>
      <w:r>
        <w:rPr>
          <w:rFonts w:hint="eastAsia" w:ascii="宋体" w:hAnsi="宋体" w:eastAsia="宋体" w:cs="宋体"/>
          <w:b/>
          <w:bCs/>
          <w:color w:val="auto"/>
          <w:spacing w:val="-2"/>
          <w:kern w:val="2"/>
          <w:sz w:val="24"/>
          <w:szCs w:val="24"/>
          <w:lang w:val="en-US" w:eastAsia="zh-CN" w:bidi="ar-SA"/>
        </w:rPr>
        <w:t>上限价及</w:t>
      </w:r>
      <w:r>
        <w:rPr>
          <w:rFonts w:hint="eastAsia" w:ascii="宋体" w:hAnsi="宋体" w:eastAsia="宋体" w:cs="Times New Roman"/>
          <w:b/>
          <w:bCs/>
          <w:color w:val="auto"/>
          <w:kern w:val="2"/>
          <w:sz w:val="24"/>
          <w:szCs w:val="24"/>
          <w:lang w:val="en-US" w:eastAsia="zh-CN" w:bidi="ar-SA"/>
        </w:rPr>
        <w:t>内容：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360" w:lineRule="auto"/>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480000元</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360" w:lineRule="auto"/>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宋体"/>
          <w:b w:val="0"/>
          <w:bCs w:val="0"/>
          <w:color w:val="auto"/>
          <w:kern w:val="2"/>
          <w:sz w:val="24"/>
          <w:szCs w:val="24"/>
          <w:lang w:val="en-US" w:eastAsia="zh-CN" w:bidi="ar-SA"/>
        </w:rPr>
        <w:t>完成浏阳市腾退村庄建设用地相关指标收益权价值评估，并出具评估报告。</w:t>
      </w:r>
      <w:bookmarkEnd w:id="1"/>
    </w:p>
    <w:bookmarkEnd w:id="2"/>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2" w:firstLineChars="200"/>
        <w:jc w:val="both"/>
        <w:textAlignment w:val="auto"/>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2" w:firstLineChars="200"/>
        <w:textAlignment w:val="auto"/>
        <w:rPr>
          <w:rFonts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w:t>
      </w:r>
      <w:r>
        <w:rPr>
          <w:rFonts w:ascii="宋体" w:hAnsi="宋体" w:eastAsia="宋体" w:cs="Times New Roman"/>
          <w:b/>
          <w:bCs/>
          <w:color w:val="auto"/>
          <w:sz w:val="24"/>
          <w:szCs w:val="24"/>
        </w:rPr>
        <w:t>1</w:t>
      </w:r>
      <w:r>
        <w:rPr>
          <w:rFonts w:hint="eastAsia" w:ascii="宋体" w:hAnsi="宋体" w:eastAsia="宋体" w:cs="Times New Roman"/>
          <w:b/>
          <w:bCs/>
          <w:color w:val="auto"/>
          <w:sz w:val="24"/>
          <w:szCs w:val="24"/>
        </w:rPr>
        <w:t>基本资格条件</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（4）其他说明</w:t>
      </w:r>
      <w:r>
        <w:rPr>
          <w:rFonts w:hint="eastAsia" w:ascii="宋体" w:hAnsi="宋体" w:eastAsia="宋体" w:cs="Times New Roman"/>
          <w:color w:val="auto"/>
          <w:sz w:val="24"/>
          <w:szCs w:val="24"/>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2024年9月至2024年11月</w:t>
      </w:r>
      <w:r>
        <w:rPr>
          <w:rFonts w:hint="eastAsia" w:ascii="宋体" w:hAnsi="宋体" w:eastAsia="宋体" w:cs="Times New Roman"/>
          <w:color w:val="auto"/>
          <w:sz w:val="24"/>
          <w:szCs w:val="24"/>
        </w:rPr>
        <w:t>。</w:t>
      </w:r>
    </w:p>
    <w:p>
      <w:pPr>
        <w:keepNext w:val="0"/>
        <w:keepLines w:val="0"/>
        <w:pageBreakBefore w:val="0"/>
        <w:kinsoku/>
        <w:overflowPunct/>
        <w:topLinePunct w:val="0"/>
        <w:autoSpaceDE/>
        <w:autoSpaceDN/>
        <w:bidi w:val="0"/>
        <w:snapToGrid/>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w:t>
      </w:r>
      <w:r>
        <w:rPr>
          <w:rFonts w:hint="eastAsia" w:ascii="宋体" w:hAnsi="宋体" w:eastAsia="宋体" w:cs="Times New Roman"/>
          <w:color w:val="auto"/>
          <w:sz w:val="24"/>
          <w:szCs w:val="24"/>
          <w:highlight w:val="none"/>
        </w:rPr>
        <w:t>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360" w:lineRule="auto"/>
        <w:ind w:firstLine="482" w:firstLineChars="200"/>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w:t>
      </w:r>
      <w:r>
        <w:rPr>
          <w:rFonts w:ascii="宋体" w:hAnsi="宋体" w:eastAsia="宋体" w:cs="Times New Roman"/>
          <w:b/>
          <w:bCs/>
          <w:color w:val="auto"/>
          <w:kern w:val="2"/>
          <w:sz w:val="24"/>
          <w:szCs w:val="24"/>
          <w:highlight w:val="none"/>
          <w:lang w:val="en-US" w:eastAsia="zh-CN" w:bidi="ar-SA"/>
        </w:rPr>
        <w:t>2投标人特定资格条件</w:t>
      </w:r>
      <w:r>
        <w:rPr>
          <w:rFonts w:hint="eastAsia" w:ascii="宋体" w:hAnsi="宋体" w:eastAsia="宋体" w:cs="Times New Roman"/>
          <w:b/>
          <w:bCs/>
          <w:color w:val="auto"/>
          <w:kern w:val="2"/>
          <w:sz w:val="24"/>
          <w:szCs w:val="24"/>
          <w:highlight w:val="none"/>
          <w:lang w:val="en-US" w:eastAsia="zh-CN" w:bidi="ar-SA"/>
        </w:rPr>
        <w:t>：具有相关部门颁发的资产评估、证券备案资质的评估机构。</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360" w:lineRule="auto"/>
        <w:ind w:firstLine="482"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3联合体投标</w:t>
      </w:r>
      <w:r>
        <w:rPr>
          <w:rFonts w:hint="eastAsia" w:ascii="宋体" w:hAnsi="宋体" w:eastAsia="宋体" w:cs="Times New Roman"/>
          <w:b/>
          <w:bCs/>
          <w:color w:val="auto"/>
          <w:kern w:val="2"/>
          <w:sz w:val="24"/>
          <w:szCs w:val="24"/>
          <w:lang w:val="en-US" w:eastAsia="zh-CN" w:bidi="ar-SA"/>
        </w:rPr>
        <w:t>：</w:t>
      </w:r>
      <w:r>
        <w:rPr>
          <w:rFonts w:ascii="宋体" w:hAnsi="宋体" w:eastAsia="宋体" w:cs="Times New Roman"/>
          <w:color w:val="auto"/>
          <w:kern w:val="2"/>
          <w:sz w:val="24"/>
          <w:szCs w:val="24"/>
          <w:lang w:val="en-US" w:eastAsia="zh-CN" w:bidi="ar-SA"/>
        </w:rPr>
        <w:t>本次招标不接受联合体投标。</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360" w:lineRule="auto"/>
        <w:ind w:firstLine="482"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12</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30</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14:30</w:t>
      </w:r>
      <w:r>
        <w:rPr>
          <w:rFonts w:ascii="宋体" w:hAnsi="宋体" w:eastAsia="宋体" w:cs="Times New Roman"/>
          <w:color w:val="auto"/>
          <w:kern w:val="2"/>
          <w:sz w:val="24"/>
          <w:szCs w:val="24"/>
          <w:u w:val="single"/>
          <w:lang w:val="en-US" w:eastAsia="zh-CN" w:bidi="ar-SA"/>
        </w:rPr>
        <w:t>（北京时间）</w:t>
      </w:r>
    </w:p>
    <w:p>
      <w:pPr>
        <w:keepNext w:val="0"/>
        <w:keepLines w:val="0"/>
        <w:pageBreakBefore w:val="0"/>
        <w:kinsoku/>
        <w:overflowPunct/>
        <w:topLinePunct w:val="0"/>
        <w:autoSpaceDE/>
        <w:autoSpaceDN/>
        <w:bidi w:val="0"/>
        <w:adjustRightInd w:val="0"/>
        <w:snapToGrid/>
        <w:spacing w:line="360" w:lineRule="auto"/>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b/>
          <w:bCs/>
          <w:color w:val="auto"/>
          <w:sz w:val="24"/>
          <w:szCs w:val="24"/>
        </w:rPr>
        <w:t>递交投标文件地点：</w:t>
      </w:r>
      <w:r>
        <w:rPr>
          <w:rFonts w:hint="eastAsia" w:ascii="宋体" w:hAnsi="宋体" w:eastAsia="宋体" w:cs="Times New Roman"/>
          <w:color w:val="auto"/>
          <w:sz w:val="24"/>
          <w:szCs w:val="24"/>
        </w:rPr>
        <w:t>浏阳市人民东路60号2楼202室</w:t>
      </w:r>
    </w:p>
    <w:p>
      <w:pPr>
        <w:keepNext w:val="0"/>
        <w:keepLines w:val="0"/>
        <w:pageBreakBefore w:val="0"/>
        <w:kinsoku/>
        <w:overflowPunct/>
        <w:topLinePunct w:val="0"/>
        <w:autoSpaceDE/>
        <w:autoSpaceDN/>
        <w:bidi w:val="0"/>
        <w:adjustRightInd w:val="0"/>
        <w:snapToGrid/>
        <w:spacing w:line="360" w:lineRule="auto"/>
        <w:ind w:firstLine="482" w:firstLineChars="200"/>
        <w:rPr>
          <w:rFonts w:hint="eastAsia" w:ascii="宋体" w:hAnsi="宋体" w:eastAsia="宋体" w:cs="Times New Roman"/>
          <w:color w:val="auto"/>
          <w:sz w:val="24"/>
          <w:szCs w:val="24"/>
          <w:u w:val="single"/>
        </w:rPr>
      </w:pPr>
      <w:r>
        <w:rPr>
          <w:rFonts w:hint="eastAsia" w:ascii="宋体" w:hAnsi="宋体" w:eastAsia="宋体" w:cs="Times New Roman"/>
          <w:b/>
          <w:bCs/>
          <w:color w:val="auto"/>
          <w:sz w:val="24"/>
          <w:szCs w:val="24"/>
          <w:lang w:val="en-US" w:eastAsia="zh-CN"/>
        </w:rPr>
        <w:t>3.</w:t>
      </w:r>
      <w:r>
        <w:rPr>
          <w:rFonts w:hint="eastAsia" w:ascii="宋体" w:hAnsi="宋体" w:eastAsia="宋体" w:cs="Times New Roman"/>
          <w:b/>
          <w:bCs/>
          <w:color w:val="auto"/>
          <w:sz w:val="24"/>
          <w:szCs w:val="24"/>
        </w:rPr>
        <w:t>5</w:t>
      </w:r>
      <w:r>
        <w:rPr>
          <w:rFonts w:ascii="宋体" w:hAnsi="宋体" w:eastAsia="宋体" w:cs="Times New Roman"/>
          <w:b/>
          <w:bCs/>
          <w:color w:val="auto"/>
          <w:sz w:val="24"/>
          <w:szCs w:val="24"/>
        </w:rPr>
        <w:t>开标时间：</w:t>
      </w:r>
      <w:r>
        <w:rPr>
          <w:rFonts w:hint="eastAsia" w:ascii="宋体" w:hAnsi="宋体" w:eastAsia="宋体" w:cs="Times New Roman"/>
          <w:color w:val="auto"/>
          <w:sz w:val="24"/>
          <w:szCs w:val="24"/>
          <w:u w:val="single"/>
          <w:lang w:eastAsia="zh-CN"/>
        </w:rPr>
        <w:t>202</w:t>
      </w:r>
      <w:r>
        <w:rPr>
          <w:rFonts w:hint="eastAsia" w:ascii="宋体" w:hAnsi="宋体" w:eastAsia="宋体" w:cs="Times New Roman"/>
          <w:color w:val="auto"/>
          <w:sz w:val="24"/>
          <w:szCs w:val="24"/>
          <w:u w:val="single"/>
          <w:lang w:val="en-US" w:eastAsia="zh-CN"/>
        </w:rPr>
        <w:t>4</w:t>
      </w:r>
      <w:r>
        <w:rPr>
          <w:rFonts w:ascii="宋体" w:hAnsi="宋体" w:eastAsia="宋体" w:cs="Times New Roman"/>
          <w:color w:val="auto"/>
          <w:sz w:val="24"/>
          <w:szCs w:val="24"/>
          <w:u w:val="single"/>
        </w:rPr>
        <w:t>年</w:t>
      </w:r>
      <w:r>
        <w:rPr>
          <w:rFonts w:hint="eastAsia" w:ascii="宋体" w:hAnsi="宋体" w:eastAsia="宋体" w:cs="Times New Roman"/>
          <w:color w:val="auto"/>
          <w:sz w:val="24"/>
          <w:szCs w:val="24"/>
          <w:u w:val="single"/>
          <w:lang w:val="en-US" w:eastAsia="zh-CN"/>
        </w:rPr>
        <w:t>12</w:t>
      </w:r>
      <w:r>
        <w:rPr>
          <w:rFonts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30</w:t>
      </w:r>
      <w:r>
        <w:rPr>
          <w:rFonts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14:30</w:t>
      </w:r>
      <w:r>
        <w:rPr>
          <w:rFonts w:hint="eastAsia" w:ascii="宋体" w:hAnsi="宋体" w:eastAsia="宋体" w:cs="Times New Roman"/>
          <w:color w:val="auto"/>
          <w:sz w:val="24"/>
          <w:szCs w:val="24"/>
          <w:u w:val="single"/>
        </w:rPr>
        <w:t>（北京时间）</w:t>
      </w:r>
    </w:p>
    <w:p>
      <w:pPr>
        <w:keepNext w:val="0"/>
        <w:keepLines w:val="0"/>
        <w:pageBreakBefore w:val="0"/>
        <w:kinsoku/>
        <w:overflowPunct/>
        <w:topLinePunct w:val="0"/>
        <w:autoSpaceDE/>
        <w:autoSpaceDN/>
        <w:bidi w:val="0"/>
        <w:adjustRightInd w:val="0"/>
        <w:snapToGrid/>
        <w:spacing w:line="360" w:lineRule="auto"/>
        <w:ind w:firstLine="964" w:firstLineChars="400"/>
        <w:rPr>
          <w:rFonts w:hint="eastAsia" w:ascii="宋体" w:hAnsi="宋体" w:eastAsia="宋体" w:cs="Times New Roman"/>
          <w:color w:val="auto"/>
          <w:sz w:val="24"/>
          <w:szCs w:val="24"/>
        </w:rPr>
      </w:pPr>
      <w:r>
        <w:rPr>
          <w:rFonts w:hint="eastAsia" w:ascii="宋体" w:hAnsi="宋体" w:eastAsia="宋体" w:cs="Times New Roman"/>
          <w:b/>
          <w:bCs/>
          <w:color w:val="auto"/>
          <w:sz w:val="24"/>
          <w:szCs w:val="24"/>
        </w:rPr>
        <w:t>开标地点：</w:t>
      </w:r>
      <w:r>
        <w:rPr>
          <w:rFonts w:hint="eastAsia" w:ascii="宋体" w:hAnsi="宋体" w:eastAsia="宋体" w:cs="Times New Roman"/>
          <w:color w:val="auto"/>
          <w:sz w:val="24"/>
          <w:szCs w:val="24"/>
        </w:rPr>
        <w:t>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pPr>
        <w:keepNext w:val="0"/>
        <w:keepLines w:val="0"/>
        <w:pageBreakBefore w:val="0"/>
        <w:widowControl w:val="0"/>
        <w:kinsoku/>
        <w:wordWrap w:val="0"/>
        <w:overflowPunct/>
        <w:topLinePunct w:val="0"/>
        <w:autoSpaceDE/>
        <w:autoSpaceDN/>
        <w:bidi w:val="0"/>
        <w:adjustRightInd/>
        <w:snapToGrid/>
        <w:spacing w:after="120" w:line="360" w:lineRule="auto"/>
        <w:ind w:left="0" w:leftChars="0" w:firstLine="482" w:firstLineChars="200"/>
        <w:jc w:val="left"/>
        <w:textAlignment w:val="auto"/>
        <w:rPr>
          <w:rFonts w:hint="eastAsia" w:ascii="宋体" w:hAnsi="宋体" w:eastAsia="宋体" w:cs="Times New Roman"/>
          <w:color w:val="auto"/>
          <w:kern w:val="2"/>
          <w:sz w:val="24"/>
          <w:szCs w:val="24"/>
          <w:u w:val="single"/>
          <w:lang w:val="en-US" w:eastAsia="zh-CN" w:bidi="ar-SA"/>
        </w:rPr>
      </w:pPr>
      <w:r>
        <w:rPr>
          <w:rFonts w:hint="eastAsia" w:ascii="宋体" w:hAnsi="宋体" w:eastAsia="宋体" w:cs="Times New Roman"/>
          <w:b/>
          <w:bCs/>
          <w:color w:val="auto"/>
          <w:sz w:val="24"/>
          <w:szCs w:val="24"/>
          <w:lang w:val="en-US" w:eastAsia="zh-CN"/>
        </w:rPr>
        <w:t>3.6</w:t>
      </w:r>
      <w:r>
        <w:rPr>
          <w:rFonts w:hint="eastAsia" w:ascii="宋体" w:hAnsi="宋体" w:eastAsia="宋体" w:cs="Times New Roman"/>
          <w:b/>
          <w:bCs/>
          <w:color w:val="auto"/>
          <w:kern w:val="2"/>
          <w:sz w:val="24"/>
          <w:szCs w:val="24"/>
          <w:lang w:val="en-US" w:eastAsia="zh-CN" w:bidi="ar-SA"/>
        </w:rPr>
        <w:t>投标人要求澄清招标文件：</w:t>
      </w:r>
      <w:r>
        <w:rPr>
          <w:rFonts w:hint="eastAsia" w:ascii="宋体" w:hAnsi="宋体" w:eastAsia="宋体" w:cs="Times New Roman"/>
          <w:color w:val="auto"/>
          <w:kern w:val="2"/>
          <w:sz w:val="24"/>
          <w:szCs w:val="24"/>
          <w:lang w:val="en-US" w:eastAsia="zh-CN" w:bidi="ar-SA"/>
        </w:rPr>
        <w:t>投标人若对招标文件有任何疑问，应于</w:t>
      </w:r>
      <w:r>
        <w:rPr>
          <w:rFonts w:hint="eastAsia" w:ascii="宋体" w:hAnsi="宋体" w:eastAsia="宋体" w:cs="Times New Roman"/>
          <w:color w:val="auto"/>
          <w:kern w:val="2"/>
          <w:sz w:val="24"/>
          <w:szCs w:val="24"/>
          <w:u w:val="single"/>
          <w:lang w:val="en-US" w:eastAsia="zh-CN" w:bidi="ar-SA"/>
        </w:rPr>
        <w:t>2024年</w:t>
      </w:r>
    </w:p>
    <w:p>
      <w:pPr>
        <w:keepNext w:val="0"/>
        <w:keepLines w:val="0"/>
        <w:pageBreakBefore w:val="0"/>
        <w:widowControl w:val="0"/>
        <w:kinsoku/>
        <w:wordWrap w:val="0"/>
        <w:overflowPunct/>
        <w:topLinePunct w:val="0"/>
        <w:autoSpaceDE/>
        <w:autoSpaceDN/>
        <w:bidi w:val="0"/>
        <w:adjustRightInd/>
        <w:snapToGrid/>
        <w:spacing w:after="120" w:line="360" w:lineRule="auto"/>
        <w:jc w:val="left"/>
        <w:textAlignment w:val="auto"/>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u w:val="single"/>
          <w:lang w:val="en-US" w:eastAsia="zh-CN" w:bidi="ar-SA"/>
        </w:rPr>
        <w:t>12 月26日 17:00</w:t>
      </w:r>
      <w:r>
        <w:rPr>
          <w:rFonts w:hint="eastAsia" w:ascii="宋体" w:hAnsi="宋体" w:eastAsia="宋体" w:cs="Times New Roman"/>
          <w:color w:val="auto"/>
          <w:kern w:val="2"/>
          <w:sz w:val="24"/>
          <w:szCs w:val="24"/>
          <w:lang w:val="en-US" w:eastAsia="zh-CN" w:bidi="ar-SA"/>
        </w:rPr>
        <w:t>（北京时间）前以不署名的方式发送至278865813@qq.com（邮件主题需填写该项目名称），过期不予受理。</w:t>
      </w:r>
    </w:p>
    <w:p>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pPr>
        <w:keepNext w:val="0"/>
        <w:keepLines w:val="0"/>
        <w:pageBreakBefore w:val="0"/>
        <w:numPr>
          <w:ilvl w:val="0"/>
          <w:numId w:val="0"/>
        </w:numPr>
        <w:kinsoku/>
        <w:overflowPunct/>
        <w:topLinePunct w:val="0"/>
        <w:autoSpaceDE/>
        <w:autoSpaceDN/>
        <w:bidi w:val="0"/>
        <w:snapToGrid/>
        <w:spacing w:line="360" w:lineRule="auto"/>
        <w:ind w:firstLine="482" w:firstLineChars="200"/>
        <w:rPr>
          <w:rFonts w:hint="eastAsia"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pPr>
        <w:keepNext w:val="0"/>
        <w:keepLines w:val="0"/>
        <w:pageBreakBefore w:val="0"/>
        <w:numPr>
          <w:ilvl w:val="0"/>
          <w:numId w:val="0"/>
        </w:numPr>
        <w:kinsoku/>
        <w:overflowPunct/>
        <w:topLinePunct w:val="0"/>
        <w:autoSpaceDE/>
        <w:autoSpaceDN/>
        <w:bidi w:val="0"/>
        <w:snapToGrid/>
        <w:spacing w:line="360" w:lineRule="auto"/>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3.9</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pPr>
        <w:keepNext w:val="0"/>
        <w:keepLines w:val="0"/>
        <w:pageBreakBefore w:val="0"/>
        <w:widowControl w:val="0"/>
        <w:kinsoku/>
        <w:overflowPunct/>
        <w:topLinePunct w:val="0"/>
        <w:autoSpaceDE/>
        <w:autoSpaceDN/>
        <w:bidi w:val="0"/>
        <w:snapToGrid/>
        <w:spacing w:line="360" w:lineRule="auto"/>
        <w:ind w:left="0" w:leftChars="0"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3.10</w:t>
      </w:r>
      <w:bookmarkStart w:id="3" w:name="OLE_LINK5"/>
      <w:r>
        <w:rPr>
          <w:rFonts w:hint="eastAsia" w:ascii="宋体" w:hAnsi="宋体" w:eastAsia="宋体" w:cs="Times New Roman"/>
          <w:b/>
          <w:bCs/>
          <w:color w:val="auto"/>
          <w:kern w:val="2"/>
          <w:sz w:val="24"/>
          <w:szCs w:val="24"/>
          <w:lang w:val="en-US" w:eastAsia="zh-CN" w:bidi="ar-SA"/>
        </w:rPr>
        <w:t>特别说明</w:t>
      </w:r>
    </w:p>
    <w:p>
      <w:pPr>
        <w:keepNext w:val="0"/>
        <w:keepLines w:val="0"/>
        <w:pageBreakBefore w:val="0"/>
        <w:widowControl w:val="0"/>
        <w:kinsoku/>
        <w:overflowPunct/>
        <w:topLinePunct w:val="0"/>
        <w:autoSpaceDE/>
        <w:autoSpaceDN/>
        <w:bidi w:val="0"/>
        <w:snapToGrid/>
        <w:spacing w:line="360" w:lineRule="auto"/>
        <w:ind w:left="0" w:leftChars="0"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3.10.1中标人自中标之日起3日内须与招标人联系并签订合同，否则视为自动放弃中标。</w:t>
      </w:r>
    </w:p>
    <w:p>
      <w:pPr>
        <w:keepNext w:val="0"/>
        <w:keepLines w:val="0"/>
        <w:pageBreakBefore w:val="0"/>
        <w:widowControl w:val="0"/>
        <w:kinsoku/>
        <w:overflowPunct/>
        <w:topLinePunct w:val="0"/>
        <w:autoSpaceDE/>
        <w:autoSpaceDN/>
        <w:bidi w:val="0"/>
        <w:snapToGrid/>
        <w:spacing w:line="360" w:lineRule="auto"/>
        <w:ind w:left="0" w:leftChars="0"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3.10.2中标人未在约定期限内出具评估报告，每逾期一天，支付违约金200元，逾期7日以上，招标人有权单反解除合同，并要求受托费支付按评估收费30%计算的违约金。</w:t>
      </w:r>
    </w:p>
    <w:p>
      <w:pPr>
        <w:keepNext w:val="0"/>
        <w:keepLines w:val="0"/>
        <w:pageBreakBefore w:val="0"/>
        <w:widowControl w:val="0"/>
        <w:kinsoku/>
        <w:overflowPunct/>
        <w:topLinePunct w:val="0"/>
        <w:autoSpaceDE/>
        <w:autoSpaceDN/>
        <w:bidi w:val="0"/>
        <w:snapToGrid/>
        <w:spacing w:line="360" w:lineRule="auto"/>
        <w:ind w:left="0" w:leftChars="0" w:firstLine="482" w:firstLineChars="200"/>
        <w:jc w:val="both"/>
        <w:rPr>
          <w:rFonts w:hint="eastAsia" w:ascii="宋体" w:hAnsi="宋体" w:eastAsia="宋体" w:cs="Times New Roman"/>
          <w:b/>
          <w:bCs/>
          <w:color w:val="auto"/>
          <w:sz w:val="24"/>
          <w:szCs w:val="24"/>
        </w:rPr>
      </w:pPr>
      <w:r>
        <w:rPr>
          <w:rFonts w:hint="eastAsia" w:ascii="宋体" w:hAnsi="宋体" w:eastAsia="宋体" w:cs="Times New Roman"/>
          <w:b/>
          <w:bCs/>
          <w:color w:val="auto"/>
          <w:kern w:val="2"/>
          <w:sz w:val="24"/>
          <w:szCs w:val="24"/>
          <w:lang w:val="en-US" w:eastAsia="zh-CN" w:bidi="ar-SA"/>
        </w:rPr>
        <w:t>3.10.3中标人在评估现场进行评估所发生的交通、住宿、餐饮等费用均包含在评估费内，招标人不在另行支付任何费用。</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4"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Times New Roman"/>
          <w:b/>
          <w:bCs/>
          <w:color w:val="auto"/>
          <w:kern w:val="2"/>
          <w:sz w:val="24"/>
          <w:szCs w:val="24"/>
          <w:lang w:val="en-US" w:eastAsia="zh-CN" w:bidi="ar-SA"/>
        </w:rPr>
        <w:t>四、</w:t>
      </w:r>
      <w:bookmarkStart w:id="4" w:name="_Toc3730"/>
      <w:r>
        <w:rPr>
          <w:rFonts w:hint="eastAsia" w:ascii="宋体" w:hAnsi="宋体" w:eastAsia="宋体" w:cs="宋体"/>
          <w:b/>
          <w:bCs/>
          <w:i w:val="0"/>
          <w:iCs w:val="0"/>
          <w:caps w:val="0"/>
          <w:color w:val="auto"/>
          <w:spacing w:val="0"/>
          <w:sz w:val="24"/>
          <w:szCs w:val="24"/>
          <w:shd w:val="clear" w:fill="FFFFFF"/>
          <w:vertAlign w:val="baseline"/>
          <w:lang w:val="en-US" w:eastAsia="zh-CN"/>
        </w:rPr>
        <w:t>投标保证金</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4.1投标人必须在投标截止时间前，缴纳玖仟陆佰元整（￥9600）投标保证金，否则拒收其投标文件。</w:t>
      </w:r>
      <w:r>
        <w:rPr>
          <w:rFonts w:hint="eastAsia" w:ascii="宋体" w:hAnsi="宋体" w:eastAsia="宋体" w:cs="宋体"/>
          <w:b/>
          <w:bCs/>
          <w:i w:val="0"/>
          <w:iCs w:val="0"/>
          <w:caps w:val="0"/>
          <w:color w:val="auto"/>
          <w:spacing w:val="0"/>
          <w:sz w:val="24"/>
          <w:szCs w:val="24"/>
          <w:shd w:val="clear" w:fill="FFFFFF"/>
          <w:vertAlign w:val="baseline"/>
          <w:lang w:val="en-US" w:eastAsia="zh-CN"/>
        </w:rPr>
        <w:t>开标时须持保证金缴纳证明资料进行查验。</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4.2递交方式：投标保证金必须是由投标人单位的基本账户转入收取投标保证金的账户。不接受个人转账或现金递交的方式。</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4.3收取投标保证金账号：</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 xml:space="preserve">户名：浏阳市浏发乡村振兴产业投资有限公司 </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银行：湖南浏阳江淮村镇银行股份有限公司人民支行</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账号：20010292357466600000013</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4.4未中标单位的投标保证金在成交通知书发放后五个工作日内退还，中标单位的投标保证金在中标单位与招标人签订合同后直接转为履约保证金，正式验收合格后退回（不计息）。</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4.5投标人有下列情形之一者，投标保证金不予退还，作违约金处理。</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（1）开标后撤回投标文件的。</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（2）中标后放弃中标、拒绝签订合同或者未在期限内签订合同。</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（3）允许他人以本公司名义投标的。</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（4）串通投标的。</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360" w:lineRule="auto"/>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val="en" w:eastAsia="zh-CN" w:bidi="ar-SA"/>
        </w:rPr>
        <w:t>。</w:t>
      </w:r>
      <w:bookmarkEnd w:id="4"/>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360" w:lineRule="auto"/>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r>
        <w:rPr>
          <w:rFonts w:hint="eastAsia" w:ascii="宋体" w:hAnsi="宋体" w:eastAsia="宋体" w:cs="Times New Roman"/>
          <w:b/>
          <w:bCs/>
          <w:color w:val="auto"/>
          <w:kern w:val="2"/>
          <w:sz w:val="24"/>
          <w:szCs w:val="24"/>
          <w:lang w:val="en-US" w:eastAsia="zh-CN" w:bidi="ar-SA"/>
        </w:rPr>
        <w:t>获取招标文件</w:t>
      </w:r>
    </w:p>
    <w:p>
      <w:pPr>
        <w:keepNext w:val="0"/>
        <w:keepLines w:val="0"/>
        <w:pageBreakBefore w:val="0"/>
        <w:widowControl/>
        <w:kinsoku/>
        <w:overflowPunct/>
        <w:topLinePunct w:val="0"/>
        <w:autoSpaceDE/>
        <w:autoSpaceDN/>
        <w:bidi w:val="0"/>
        <w:snapToGrid/>
        <w:spacing w:before="0" w:beforeAutospacing="0" w:after="0" w:afterAutospacing="0" w:line="360" w:lineRule="auto"/>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pPr>
        <w:keepNext w:val="0"/>
        <w:keepLines w:val="0"/>
        <w:pageBreakBefore w:val="0"/>
        <w:widowControl/>
        <w:kinsoku/>
        <w:overflowPunct/>
        <w:topLinePunct w:val="0"/>
        <w:autoSpaceDE/>
        <w:autoSpaceDN/>
        <w:bidi w:val="0"/>
        <w:snapToGrid/>
        <w:spacing w:before="0" w:beforeAutospacing="0" w:after="0" w:afterAutospacing="0" w:line="360" w:lineRule="auto"/>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pPr>
        <w:keepNext w:val="0"/>
        <w:keepLines w:val="0"/>
        <w:pageBreakBefore w:val="0"/>
        <w:kinsoku/>
        <w:overflowPunct/>
        <w:topLinePunct w:val="0"/>
        <w:autoSpaceDE/>
        <w:autoSpaceDN/>
        <w:bidi w:val="0"/>
        <w:snapToGrid/>
        <w:spacing w:line="360" w:lineRule="auto"/>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七</w:t>
      </w:r>
      <w:bookmarkEnd w:id="3"/>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pPr>
        <w:keepNext w:val="0"/>
        <w:keepLines w:val="0"/>
        <w:pageBreakBefore w:val="0"/>
        <w:tabs>
          <w:tab w:val="left" w:pos="7853"/>
        </w:tabs>
        <w:kinsoku/>
        <w:overflowPunct/>
        <w:topLinePunct w:val="0"/>
        <w:autoSpaceDE/>
        <w:autoSpaceDN/>
        <w:bidi w:val="0"/>
        <w:snapToGrid/>
        <w:spacing w:line="360" w:lineRule="auto"/>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浏阳市浏发乡村振兴产业投资有限公司</w:t>
      </w:r>
    </w:p>
    <w:p>
      <w:pPr>
        <w:keepNext w:val="0"/>
        <w:keepLines w:val="0"/>
        <w:pageBreakBefore w:val="0"/>
        <w:tabs>
          <w:tab w:val="left" w:pos="7853"/>
        </w:tabs>
        <w:kinsoku/>
        <w:overflowPunct/>
        <w:topLinePunct w:val="0"/>
        <w:autoSpaceDE/>
        <w:autoSpaceDN/>
        <w:bidi w:val="0"/>
        <w:snapToGrid/>
        <w:spacing w:line="360" w:lineRule="auto"/>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360" w:lineRule="auto"/>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人：易女士     </w:t>
      </w:r>
    </w:p>
    <w:p>
      <w:pPr>
        <w:keepNext w:val="0"/>
        <w:keepLines w:val="0"/>
        <w:pageBreakBefore w:val="0"/>
        <w:tabs>
          <w:tab w:val="left" w:pos="7853"/>
        </w:tabs>
        <w:kinsoku/>
        <w:overflowPunct/>
        <w:topLinePunct w:val="0"/>
        <w:autoSpaceDE/>
        <w:autoSpaceDN/>
        <w:bidi w:val="0"/>
        <w:snapToGrid/>
        <w:spacing w:line="360" w:lineRule="auto"/>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电话：0731-83648668</w:t>
      </w:r>
    </w:p>
    <w:p>
      <w:pPr>
        <w:keepNext w:val="0"/>
        <w:keepLines w:val="0"/>
        <w:pageBreakBefore w:val="0"/>
        <w:kinsoku/>
        <w:overflowPunct/>
        <w:topLinePunct w:val="0"/>
        <w:autoSpaceDE/>
        <w:autoSpaceDN/>
        <w:bidi w:val="0"/>
        <w:snapToGrid/>
        <w:spacing w:line="360" w:lineRule="auto"/>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代理机构：湖南林三建筑科技有限公司</w:t>
      </w:r>
    </w:p>
    <w:p>
      <w:pPr>
        <w:keepNext w:val="0"/>
        <w:keepLines w:val="0"/>
        <w:pageBreakBefore w:val="0"/>
        <w:kinsoku/>
        <w:overflowPunct/>
        <w:topLinePunct w:val="0"/>
        <w:autoSpaceDE/>
        <w:autoSpaceDN/>
        <w:bidi w:val="0"/>
        <w:snapToGrid/>
        <w:spacing w:line="360" w:lineRule="auto"/>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地    址：浏阳市关口街道国际烟花贸易大厦10楼1003室</w:t>
      </w:r>
    </w:p>
    <w:p>
      <w:pPr>
        <w:keepNext w:val="0"/>
        <w:keepLines w:val="0"/>
        <w:pageBreakBefore w:val="0"/>
        <w:kinsoku/>
        <w:overflowPunct/>
        <w:topLinePunct w:val="0"/>
        <w:autoSpaceDE/>
        <w:autoSpaceDN/>
        <w:bidi w:val="0"/>
        <w:snapToGrid/>
        <w:spacing w:line="360" w:lineRule="auto"/>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 xml:space="preserve">联 系 人：周女士     </w:t>
      </w:r>
    </w:p>
    <w:p>
      <w:pPr>
        <w:keepNext w:val="0"/>
        <w:keepLines w:val="0"/>
        <w:pageBreakBefore w:val="0"/>
        <w:kinsoku/>
        <w:overflowPunct/>
        <w:topLinePunct w:val="0"/>
        <w:autoSpaceDE/>
        <w:autoSpaceDN/>
        <w:bidi w:val="0"/>
        <w:snapToGrid/>
        <w:spacing w:line="360" w:lineRule="auto"/>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电话：13874995334</w:t>
      </w:r>
    </w:p>
    <w:p>
      <w:pPr>
        <w:keepNext w:val="0"/>
        <w:keepLines w:val="0"/>
        <w:pageBreakBefore w:val="0"/>
        <w:kinsoku/>
        <w:overflowPunct/>
        <w:topLinePunct w:val="0"/>
        <w:autoSpaceDE/>
        <w:autoSpaceDN/>
        <w:bidi w:val="0"/>
        <w:snapToGrid/>
        <w:spacing w:line="360" w:lineRule="auto"/>
        <w:ind w:firstLine="480" w:firstLineChars="200"/>
        <w:rPr>
          <w:rFonts w:hint="default" w:ascii="宋体" w:hAnsi="宋体" w:eastAsia="宋体" w:cs="Times New Roman"/>
          <w:color w:val="auto"/>
          <w:sz w:val="24"/>
          <w:szCs w:val="24"/>
          <w:lang w:val="en-US" w:eastAsia="zh-CN"/>
        </w:rPr>
      </w:pPr>
    </w:p>
    <w:p>
      <w:pPr>
        <w:keepNext w:val="0"/>
        <w:keepLines w:val="0"/>
        <w:pageBreakBefore w:val="0"/>
        <w:kinsoku/>
        <w:wordWrap w:val="0"/>
        <w:overflowPunct/>
        <w:topLinePunct w:val="0"/>
        <w:autoSpaceDE/>
        <w:autoSpaceDN/>
        <w:bidi w:val="0"/>
        <w:snapToGrid/>
        <w:spacing w:line="360" w:lineRule="auto"/>
        <w:ind w:right="-34"/>
        <w:jc w:val="right"/>
        <w:rPr>
          <w:color w:val="auto"/>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12</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23</w:t>
      </w:r>
      <w:r>
        <w:rPr>
          <w:rFonts w:hint="eastAsia" w:ascii="宋体" w:hAnsi="宋体" w:eastAsia="宋体" w:cs="Times New Roman"/>
          <w:color w:val="auto"/>
          <w:sz w:val="24"/>
          <w:szCs w:val="24"/>
        </w:rPr>
        <w:t>日</w:t>
      </w:r>
    </w:p>
    <w:p>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p>
    <w:p>
      <w:pPr>
        <w:rPr>
          <w:rFonts w:hint="eastAsia" w:ascii="宋体" w:hAnsi="宋体" w:eastAsia="宋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br w:type="page"/>
      </w:r>
    </w:p>
    <w:p>
      <w:pPr>
        <w:widowControl/>
        <w:shd w:val="clear" w:color="auto" w:fill="FFFFFF"/>
        <w:spacing w:before="100" w:beforeAutospacing="1" w:after="100" w:afterAutospacing="1" w:line="360" w:lineRule="auto"/>
        <w:jc w:val="cente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bidi="ar-SA"/>
        </w:rPr>
        <w:t>浏阳市腾退村庄建设用地相关指标收益权</w:t>
      </w:r>
    </w:p>
    <w:p>
      <w:pPr>
        <w:widowControl/>
        <w:shd w:val="clear" w:color="auto" w:fill="FFFFFF"/>
        <w:spacing w:before="100" w:beforeAutospacing="1" w:after="100" w:afterAutospacing="1" w:line="360" w:lineRule="auto"/>
        <w:jc w:val="center"/>
        <w:rPr>
          <w:rFonts w:hint="eastAsia" w:ascii="宋体" w:hAnsi="宋体" w:eastAsia="宋体" w:cs="宋体"/>
          <w:bCs/>
          <w:color w:val="auto"/>
          <w:kern w:val="0"/>
          <w:sz w:val="36"/>
          <w:szCs w:val="36"/>
          <w:lang w:val="en-US" w:eastAsia="zh-CN" w:bidi="ar-SA"/>
        </w:rPr>
      </w:pPr>
      <w:r>
        <w:rPr>
          <w:rFonts w:hint="eastAsia" w:ascii="宋体" w:hAnsi="宋体" w:eastAsia="宋体" w:cs="宋体"/>
          <w:b/>
          <w:bCs/>
          <w:color w:val="auto"/>
          <w:kern w:val="2"/>
          <w:sz w:val="36"/>
          <w:szCs w:val="36"/>
          <w:lang w:val="en-US" w:eastAsia="zh-CN" w:bidi="ar-SA"/>
        </w:rPr>
        <w:t>评估报告编制（第二次）</w:t>
      </w:r>
      <w:r>
        <w:rPr>
          <w:rFonts w:hint="eastAsia" w:ascii="宋体" w:hAnsi="宋体" w:eastAsia="宋体" w:cs="宋体"/>
          <w:b/>
          <w:bCs/>
          <w:color w:val="auto"/>
          <w:kern w:val="0"/>
          <w:sz w:val="36"/>
          <w:szCs w:val="36"/>
          <w:lang w:val="en-US" w:eastAsia="zh-CN" w:bidi="ar-SA"/>
        </w:rPr>
        <w:t>招标文件</w:t>
      </w:r>
    </w:p>
    <w:p>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湖南林三建筑科技有限公司受浏阳市浏发乡村振兴产业投资有限公司委托，就其</w:t>
      </w:r>
      <w:r>
        <w:rPr>
          <w:rFonts w:hint="eastAsia" w:ascii="宋体" w:hAnsi="宋体" w:eastAsia="宋体" w:cs="宋体"/>
          <w:color w:val="auto"/>
          <w:kern w:val="2"/>
          <w:sz w:val="24"/>
          <w:szCs w:val="24"/>
          <w:lang w:val="en-US" w:eastAsia="zh-CN" w:bidi="ar-SA"/>
        </w:rPr>
        <w:t>浏阳市腾退村庄建设用地相关指标收益权评估报告编制</w:t>
      </w:r>
      <w:r>
        <w:rPr>
          <w:rFonts w:hint="eastAsia" w:ascii="宋体" w:hAnsi="宋体" w:eastAsia="宋体" w:cs="宋体"/>
          <w:color w:val="auto"/>
          <w:kern w:val="0"/>
          <w:sz w:val="24"/>
          <w:szCs w:val="24"/>
          <w:lang w:val="en-US" w:eastAsia="zh-CN" w:bidi="ar-SA"/>
        </w:rPr>
        <w:t>进行采购，现进行公开招标。</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一、</w:t>
      </w: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Times New Roman"/>
          <w:b w:val="0"/>
          <w:bCs w:val="0"/>
          <w:color w:val="auto"/>
          <w:kern w:val="2"/>
          <w:sz w:val="24"/>
          <w:szCs w:val="24"/>
          <w:lang w:val="en-US" w:eastAsia="zh-CN" w:bidi="ar-SA"/>
        </w:rPr>
        <w:t>完成浏阳市腾退村庄建设用地相关指标收益权价值评估，并出具评估报告。</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kern w:val="2"/>
          <w:sz w:val="24"/>
          <w:szCs w:val="24"/>
          <w:lang w:val="en-US" w:eastAsia="zh-CN" w:bidi="ar-SA"/>
        </w:rPr>
        <w:t>二、</w:t>
      </w: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w:t>
      </w:r>
      <w:r>
        <w:rPr>
          <w:rFonts w:hint="eastAsia" w:ascii="宋体" w:hAnsi="宋体" w:eastAsia="宋体" w:cs="宋体"/>
          <w:color w:val="auto"/>
          <w:sz w:val="24"/>
          <w:szCs w:val="24"/>
          <w:highlight w:val="none"/>
        </w:rPr>
        <w:t>。</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color w:val="auto"/>
          <w:sz w:val="24"/>
          <w:szCs w:val="24"/>
          <w:lang w:val="en-US" w:eastAsia="zh-CN"/>
        </w:rPr>
        <w:t>服务</w:t>
      </w:r>
      <w:r>
        <w:rPr>
          <w:rFonts w:hint="eastAsia" w:eastAsia="宋体" w:cs="宋体"/>
          <w:b/>
          <w:color w:val="auto"/>
          <w:sz w:val="24"/>
          <w:szCs w:val="24"/>
          <w:lang w:val="en-US" w:eastAsia="zh-CN"/>
        </w:rPr>
        <w:t>时间</w:t>
      </w:r>
      <w:r>
        <w:rPr>
          <w:rFonts w:hint="eastAsia" w:ascii="宋体" w:hAnsi="宋体" w:eastAsia="宋体" w:cs="宋体"/>
          <w:b/>
          <w:color w:val="auto"/>
          <w:sz w:val="24"/>
          <w:szCs w:val="24"/>
          <w:lang w:val="en-US" w:eastAsia="zh-CN"/>
        </w:rPr>
        <w:t>：</w:t>
      </w:r>
      <w:r>
        <w:rPr>
          <w:rFonts w:hint="eastAsia" w:eastAsia="宋体" w:cs="宋体"/>
          <w:b w:val="0"/>
          <w:bCs w:val="0"/>
          <w:color w:val="auto"/>
          <w:sz w:val="24"/>
          <w:szCs w:val="24"/>
          <w:lang w:val="en-US" w:eastAsia="zh-CN"/>
        </w:rPr>
        <w:t>在招标人提供完整资料之日起7个工作日内向招标人出具评估报告书。</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五、服务要求：</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bCs/>
          <w:color w:val="auto"/>
          <w:kern w:val="0"/>
          <w:sz w:val="24"/>
          <w:szCs w:val="24"/>
          <w:lang w:val="en-US" w:eastAsia="zh-CN" w:bidi="ar-SA"/>
        </w:rPr>
      </w:pPr>
      <w:r>
        <w:rPr>
          <w:rFonts w:hint="default" w:ascii="宋体" w:hAnsi="宋体" w:eastAsia="宋体" w:cs="宋体"/>
          <w:bCs/>
          <w:color w:val="auto"/>
          <w:kern w:val="0"/>
          <w:sz w:val="24"/>
          <w:szCs w:val="24"/>
          <w:lang w:val="en-US" w:eastAsia="zh-CN" w:bidi="ar-SA"/>
        </w:rPr>
        <w:t>1、投标人应是具有资产评估、证券备案资质的评估机构</w:t>
      </w:r>
      <w:r>
        <w:rPr>
          <w:rFonts w:hint="eastAsia" w:ascii="宋体" w:hAnsi="宋体" w:eastAsia="宋体" w:cs="宋体"/>
          <w:bCs/>
          <w:color w:val="auto"/>
          <w:kern w:val="0"/>
          <w:sz w:val="24"/>
          <w:szCs w:val="24"/>
          <w:lang w:val="en-US" w:eastAsia="zh-CN" w:bidi="ar-SA"/>
        </w:rPr>
        <w:t>。</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default" w:ascii="宋体" w:hAnsi="宋体" w:eastAsia="宋体" w:cs="宋体"/>
          <w:bCs/>
          <w:color w:val="auto"/>
          <w:kern w:val="0"/>
          <w:sz w:val="24"/>
          <w:szCs w:val="24"/>
          <w:lang w:val="en-US" w:eastAsia="zh-CN" w:bidi="ar-SA"/>
        </w:rPr>
      </w:pPr>
      <w:r>
        <w:rPr>
          <w:rFonts w:hint="default" w:ascii="宋体" w:hAnsi="宋体" w:eastAsia="宋体" w:cs="宋体"/>
          <w:bCs/>
          <w:color w:val="auto"/>
          <w:kern w:val="0"/>
          <w:sz w:val="24"/>
          <w:szCs w:val="24"/>
          <w:lang w:val="en-US" w:eastAsia="zh-CN" w:bidi="ar-SA"/>
        </w:rPr>
        <w:t>2、中标人对评估资料的真实性、合法性负责；中标人对评估报告书的公允性、合法性负责，并对招标人提供的资料保密。</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default" w:ascii="宋体" w:hAnsi="宋体" w:eastAsia="宋体" w:cs="宋体"/>
          <w:bCs/>
          <w:color w:val="auto"/>
          <w:kern w:val="0"/>
          <w:sz w:val="24"/>
          <w:szCs w:val="24"/>
          <w:lang w:val="en-US" w:eastAsia="zh-CN" w:bidi="ar-SA"/>
        </w:rPr>
      </w:pPr>
      <w:r>
        <w:rPr>
          <w:rFonts w:hint="default" w:ascii="宋体" w:hAnsi="宋体" w:eastAsia="宋体" w:cs="宋体"/>
          <w:bCs/>
          <w:color w:val="auto"/>
          <w:kern w:val="0"/>
          <w:sz w:val="24"/>
          <w:szCs w:val="24"/>
          <w:lang w:val="en-US" w:eastAsia="zh-CN" w:bidi="ar-SA"/>
        </w:rPr>
        <w:t>3、中标人应在招标人提供完整资料之日起7个工作日内向招标人出具评估报告书。</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、投标资格要求</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1基本资格条件：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2024年9月至2024年11月）依法缴纳税收的证明（纳税凭证复印件），或者委托他人缴纳的委托代办协议和近三个月内任意一个月（2024年9月至2024年11月）的缴纳证明（收据复印件），或者法定征收机关出具的依法免缴税收的证明原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注：投标人具有实行了“三证合一”登记制度改革的新证，视同为持有工商营业执照、组织机构代码证和税务登记证，符合基本资格条件的相关条款。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74"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宋体"/>
          <w:b/>
          <w:bCs/>
          <w:color w:val="auto"/>
          <w:spacing w:val="-2"/>
          <w:kern w:val="0"/>
          <w:sz w:val="24"/>
          <w:szCs w:val="24"/>
          <w:lang w:val="en-US" w:eastAsia="zh-CN" w:bidi="ar-SA"/>
        </w:rPr>
        <w:t>6.2特定资格条件：</w:t>
      </w:r>
      <w:r>
        <w:rPr>
          <w:rFonts w:hint="eastAsia" w:ascii="宋体" w:hAnsi="宋体" w:eastAsia="宋体" w:cs="Times New Roman"/>
          <w:b/>
          <w:bCs/>
          <w:color w:val="auto"/>
          <w:kern w:val="2"/>
          <w:sz w:val="24"/>
          <w:szCs w:val="24"/>
          <w:lang w:val="en-US" w:eastAsia="zh-CN" w:bidi="ar-SA"/>
        </w:rPr>
        <w:t>具有相关部门颁发</w:t>
      </w:r>
      <w:bookmarkStart w:id="12" w:name="_GoBack"/>
      <w:r>
        <w:rPr>
          <w:rFonts w:hint="eastAsia" w:ascii="宋体" w:hAnsi="宋体" w:eastAsia="宋体" w:cs="Times New Roman"/>
          <w:b/>
          <w:bCs/>
          <w:color w:val="auto"/>
          <w:kern w:val="2"/>
          <w:sz w:val="24"/>
          <w:szCs w:val="24"/>
          <w:highlight w:val="none"/>
          <w:lang w:val="en-US" w:eastAsia="zh-CN" w:bidi="ar-SA"/>
        </w:rPr>
        <w:t>的资产评估、证券备案资质的评估机构。</w:t>
      </w:r>
      <w:bookmarkEnd w:id="12"/>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6.3投标人有下列情形之一的，视为无效投标：</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八、采购上限价</w:t>
      </w:r>
      <w:r>
        <w:rPr>
          <w:rFonts w:hint="eastAsia" w:ascii="宋体" w:hAnsi="宋体" w:eastAsia="宋体" w:cs="宋体"/>
          <w:b/>
          <w:bCs/>
          <w:color w:val="auto"/>
          <w:kern w:val="2"/>
          <w:sz w:val="24"/>
          <w:szCs w:val="24"/>
          <w:lang w:val="en-US" w:eastAsia="zh-CN" w:bidi="ar-SA"/>
        </w:rPr>
        <w:t>：480000.00元</w:t>
      </w:r>
    </w:p>
    <w:p>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bookmarkStart w:id="5" w:name="_Toc401742306"/>
      <w:bookmarkStart w:id="6" w:name="_Toc359570304"/>
      <w:r>
        <w:rPr>
          <w:rFonts w:hint="eastAsia" w:ascii="宋体" w:hAnsi="宋体" w:eastAsia="宋体" w:cs="宋体"/>
          <w:b/>
          <w:bCs w:val="0"/>
          <w:color w:val="auto"/>
          <w:kern w:val="2"/>
          <w:sz w:val="24"/>
          <w:szCs w:val="24"/>
          <w:lang w:val="en-US" w:eastAsia="zh-CN" w:bidi="ar-SA"/>
        </w:rPr>
        <w:t>其他要求：</w:t>
      </w:r>
      <w:bookmarkEnd w:id="5"/>
      <w:bookmarkEnd w:id="6"/>
    </w:p>
    <w:p>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9.1验收</w:t>
      </w:r>
    </w:p>
    <w:p>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本项目采用简易程序验收。</w:t>
      </w:r>
    </w:p>
    <w:p>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default"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9.2结算方法</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2" w:firstLineChars="200"/>
        <w:jc w:val="left"/>
        <w:textAlignment w:val="auto"/>
        <w:rPr>
          <w:rFonts w:hint="default"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9.2.1付款人：</w:t>
      </w:r>
      <w:r>
        <w:rPr>
          <w:rFonts w:hint="eastAsia" w:ascii="宋体" w:hAnsi="宋体" w:eastAsia="宋体" w:cs="宋体"/>
          <w:color w:val="auto"/>
          <w:kern w:val="0"/>
          <w:sz w:val="24"/>
          <w:szCs w:val="24"/>
          <w:lang w:val="en-US" w:eastAsia="zh-CN" w:bidi="ar-SA"/>
        </w:rPr>
        <w:t>浏阳市浏发乡村振兴产业投资有限公司</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2"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9.2.2付款方式：</w:t>
      </w:r>
      <w:r>
        <w:rPr>
          <w:rFonts w:hint="eastAsia" w:ascii="宋体" w:hAnsi="宋体" w:eastAsia="宋体" w:cs="宋体"/>
          <w:color w:val="auto"/>
          <w:kern w:val="0"/>
          <w:sz w:val="24"/>
          <w:szCs w:val="24"/>
          <w:lang w:val="en-US" w:eastAsia="zh-CN" w:bidi="ar-SA"/>
        </w:rPr>
        <w:t>提交报告成果经招标人确认后一次性支付款项。</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2"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9.3</w:t>
      </w:r>
      <w:r>
        <w:rPr>
          <w:rFonts w:hint="eastAsia" w:ascii="宋体" w:hAnsi="宋体" w:eastAsia="宋体" w:cs="宋体"/>
          <w:color w:val="auto"/>
          <w:kern w:val="0"/>
          <w:sz w:val="24"/>
          <w:szCs w:val="24"/>
          <w:lang w:val="en-US" w:eastAsia="zh-CN" w:bidi="ar-SA"/>
        </w:rPr>
        <w:t>本项目服务费是指完成文件规定的全部工作内容，提交合格成果文件所发生的全部费用，采用费用包干方式，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pPr>
        <w:keepNext w:val="0"/>
        <w:keepLines w:val="0"/>
        <w:pageBreakBefore w:val="0"/>
        <w:widowControl w:val="0"/>
        <w:kinsoku/>
        <w:wordWrap/>
        <w:overflowPunct/>
        <w:topLinePunct w:val="0"/>
        <w:autoSpaceDE/>
        <w:autoSpaceDN/>
        <w:bidi w:val="0"/>
        <w:snapToGrid/>
        <w:spacing w:line="520" w:lineRule="exact"/>
        <w:ind w:left="0" w:leftChars="0" w:firstLine="482" w:firstLineChars="200"/>
        <w:jc w:val="both"/>
        <w:textAlignment w:val="auto"/>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9.4特别说明</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9.4.1中标人自中标之日起3日内须与招标人联系并签订合同，否则视为自动放弃中标。</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9.4.2中标人未在约定期限内出具评估报告，每逾期一天，支付违约金200元，逾期7日以上，招标人有权单反解除合同，并要求受托费支付按评估收费30%计算的违约金。</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9.4.3中标人在评估现场进行评估所发生的交通、住宿、餐饮等费用均包含在评估费内，招标人不在另行支付任何费用。</w:t>
      </w:r>
    </w:p>
    <w:p>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十、投标文件的编制、密封、递交</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十一、投标文件递交</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12</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14</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7" w:name="_Toc429827520"/>
      <w:bookmarkStart w:id="8" w:name="_Toc300677995"/>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阶段</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浏阳市浏发乡村振兴产业投资有限公司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人：易女士     </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湖南林三建筑科技有限公司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浏阳市关口街道国际烟花贸易大厦10楼1003室</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周女士</w:t>
      </w:r>
      <w:r>
        <w:rPr>
          <w:rFonts w:hint="eastAsia" w:ascii="宋体" w:hAnsi="宋体" w:eastAsia="宋体" w:cs="Times New Roman"/>
          <w:color w:val="auto"/>
          <w:sz w:val="24"/>
          <w:szCs w:val="24"/>
        </w:rPr>
        <w:t xml:space="preserve">     </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电话：</w:t>
      </w:r>
      <w:r>
        <w:rPr>
          <w:rFonts w:hint="eastAsia" w:ascii="宋体" w:hAnsi="宋体" w:eastAsia="宋体" w:cs="Times New Roman"/>
          <w:color w:val="auto"/>
          <w:sz w:val="24"/>
          <w:szCs w:val="24"/>
          <w:lang w:val="en-US" w:eastAsia="zh-CN"/>
        </w:rPr>
        <w:t>13874995334</w:t>
      </w:r>
    </w:p>
    <w:p>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bookmarkEnd w:id="7"/>
    <w:bookmarkEnd w:id="8"/>
    <w:p>
      <w:pPr>
        <w:spacing w:line="510" w:lineRule="exact"/>
        <w:rPr>
          <w:rFonts w:ascii="宋体" w:hAnsi="宋体" w:eastAsia="宋体" w:cs="Times New Roman"/>
          <w:color w:val="auto"/>
          <w:sz w:val="24"/>
        </w:rPr>
      </w:pPr>
      <w:r>
        <w:rPr>
          <w:rFonts w:ascii="仿宋_GB2312" w:hAnsi="Times New Roman" w:eastAsia="仿宋_GB2312" w:cs="Times New Roman"/>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pPr>
        <w:widowControl/>
        <w:overflowPunct w:val="0"/>
        <w:rPr>
          <w:rFonts w:ascii="仿宋_GB2312" w:hAnsi="Times New Roman" w:eastAsia="仿宋_GB2312" w:cs="Times New Roman"/>
          <w:color w:val="auto"/>
          <w:sz w:val="32"/>
        </w:rPr>
      </w:pPr>
    </w:p>
    <w:p>
      <w:pPr>
        <w:overflowPunct w:val="0"/>
        <w:spacing w:beforeLines="100"/>
        <w:jc w:val="center"/>
        <w:rPr>
          <w:rFonts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浏阳市腾退村庄建设用地相关指标收益权评估报告编制（第二次）</w:t>
      </w:r>
    </w:p>
    <w:p>
      <w:pPr>
        <w:overflowPunct w:val="0"/>
        <w:spacing w:beforeLines="100"/>
        <w:jc w:val="center"/>
        <w:rPr>
          <w:rFonts w:ascii="黑体" w:hAnsi="Times New Roman" w:eastAsia="黑体" w:cs="Times New Roman"/>
          <w:color w:val="auto"/>
          <w:sz w:val="52"/>
          <w:szCs w:val="52"/>
        </w:rPr>
      </w:pPr>
      <w:r>
        <w:rPr>
          <w:rFonts w:hint="eastAsia" w:ascii="黑体" w:hAnsi="Times New Roman" w:eastAsia="黑体" w:cs="Times New Roman"/>
          <w:color w:val="auto"/>
          <w:sz w:val="52"/>
          <w:szCs w:val="52"/>
        </w:rPr>
        <w:t>投 标 文 件</w:t>
      </w: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overflowPunct w:val="0"/>
        <w:jc w:val="left"/>
        <w:rPr>
          <w:rFonts w:ascii="黑体" w:hAnsi="Times New Roman" w:eastAsia="黑体" w:cs="Times New Roman"/>
          <w:color w:val="auto"/>
          <w:sz w:val="24"/>
          <w:szCs w:val="28"/>
        </w:rPr>
      </w:pPr>
    </w:p>
    <w:p>
      <w:pPr>
        <w:overflowPunct w:val="0"/>
        <w:jc w:val="left"/>
        <w:rPr>
          <w:rFonts w:ascii="黑体" w:hAnsi="Times New Roman" w:eastAsia="黑体" w:cs="Times New Roman"/>
          <w:color w:val="auto"/>
          <w:sz w:val="24"/>
          <w:szCs w:val="28"/>
        </w:rPr>
      </w:pPr>
    </w:p>
    <w:p>
      <w:pPr>
        <w:overflowPunct w:val="0"/>
        <w:spacing w:line="480" w:lineRule="auto"/>
        <w:ind w:firstLine="2160" w:firstLineChars="900"/>
        <w:jc w:val="left"/>
        <w:rPr>
          <w:rFonts w:ascii="黑体" w:hAnsi="Times New Roman" w:eastAsia="黑体" w:cs="Times New Roman"/>
          <w:color w:val="auto"/>
          <w:sz w:val="24"/>
          <w:szCs w:val="28"/>
        </w:rPr>
      </w:pPr>
      <w:r>
        <w:rPr>
          <w:rFonts w:hint="eastAsia" w:ascii="黑体" w:hAnsi="Times New Roman" w:eastAsia="黑体" w:cs="Times New Roman"/>
          <w:color w:val="auto"/>
          <w:sz w:val="24"/>
          <w:szCs w:val="28"/>
        </w:rPr>
        <w:t>投 标 人：（盖单位章）</w:t>
      </w:r>
    </w:p>
    <w:p>
      <w:pPr>
        <w:overflowPunct w:val="0"/>
        <w:spacing w:line="480" w:lineRule="auto"/>
        <w:jc w:val="center"/>
        <w:rPr>
          <w:rFonts w:ascii="黑体" w:hAnsi="Times New Roman" w:eastAsia="黑体" w:cs="Times New Roman"/>
          <w:color w:val="auto"/>
          <w:sz w:val="28"/>
          <w:szCs w:val="28"/>
        </w:rPr>
      </w:pPr>
      <w:r>
        <w:rPr>
          <w:rFonts w:hint="eastAsia" w:ascii="黑体" w:hAnsi="Times New Roman" w:eastAsia="黑体" w:cs="Times New Roman"/>
          <w:color w:val="auto"/>
          <w:sz w:val="24"/>
          <w:szCs w:val="28"/>
        </w:rPr>
        <w:t>法定代表人或其委托代理人：（签字</w:t>
      </w:r>
      <w:r>
        <w:rPr>
          <w:rFonts w:hint="eastAsia" w:ascii="黑体" w:hAnsi="Times New Roman" w:eastAsia="黑体" w:cs="Times New Roman"/>
          <w:color w:val="auto"/>
          <w:kern w:val="0"/>
          <w:sz w:val="24"/>
          <w:szCs w:val="28"/>
        </w:rPr>
        <w:t>或盖章</w:t>
      </w:r>
      <w:r>
        <w:rPr>
          <w:rFonts w:hint="eastAsia" w:ascii="黑体" w:hAnsi="Times New Roman" w:eastAsia="黑体" w:cs="Times New Roman"/>
          <w:color w:val="auto"/>
          <w:sz w:val="24"/>
          <w:szCs w:val="28"/>
        </w:rPr>
        <w:t>）</w:t>
      </w:r>
    </w:p>
    <w:p>
      <w:pPr>
        <w:overflowPunct w:val="0"/>
        <w:spacing w:line="480" w:lineRule="auto"/>
        <w:ind w:firstLine="2640" w:firstLineChars="1100"/>
        <w:jc w:val="center"/>
        <w:rPr>
          <w:rFonts w:ascii="宋体" w:hAnsi="宋体" w:eastAsia="宋体" w:cs="宋体"/>
          <w:color w:val="auto"/>
          <w:sz w:val="36"/>
          <w:szCs w:val="36"/>
        </w:rPr>
      </w:pPr>
      <w:r>
        <w:rPr>
          <w:rFonts w:hint="eastAsia" w:ascii="黑体" w:hAnsi="黑体" w:eastAsia="黑体" w:cs="Times New Roman"/>
          <w:color w:val="auto"/>
          <w:sz w:val="24"/>
          <w:szCs w:val="28"/>
          <w:lang w:eastAsia="zh-CN"/>
        </w:rPr>
        <w:t>日期：</w:t>
      </w:r>
      <w:r>
        <w:rPr>
          <w:rFonts w:hint="eastAsia" w:ascii="黑体" w:hAnsi="黑体" w:eastAsia="黑体" w:cs="Times New Roman"/>
          <w:color w:val="auto"/>
          <w:sz w:val="24"/>
          <w:szCs w:val="28"/>
        </w:rPr>
        <w:t>年</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月</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日</w:t>
      </w:r>
      <w:r>
        <w:rPr>
          <w:rFonts w:hint="eastAsia" w:ascii="宋体" w:hAnsi="宋体" w:eastAsia="仿宋_GB2312" w:cs="Times New Roman"/>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pPr>
        <w:spacing w:line="420" w:lineRule="exact"/>
        <w:jc w:val="center"/>
        <w:rPr>
          <w:rFonts w:ascii="仿宋" w:hAnsi="仿宋" w:eastAsia="仿宋" w:cs="仿宋"/>
          <w:color w:val="auto"/>
          <w:sz w:val="24"/>
        </w:rPr>
      </w:pP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spacing w:line="420" w:lineRule="exact"/>
        <w:ind w:firstLine="480"/>
        <w:rPr>
          <w:rFonts w:ascii="宋体" w:hAnsi="宋体" w:eastAsia="宋体" w:cs="Times New Roman"/>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numPr>
          <w:ilvl w:val="0"/>
          <w:numId w:val="2"/>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pPr>
        <w:keepNext w:val="0"/>
        <w:keepLines w:val="0"/>
        <w:pageBreakBefore w:val="0"/>
        <w:numPr>
          <w:ilvl w:val="0"/>
          <w:numId w:val="3"/>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pPr>
        <w:numPr>
          <w:ilvl w:val="0"/>
          <w:numId w:val="2"/>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投标承诺汇总表</w:t>
      </w:r>
    </w:p>
    <w:tbl>
      <w:tblPr>
        <w:tblStyle w:val="9"/>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名称</w:t>
            </w:r>
          </w:p>
        </w:tc>
        <w:tc>
          <w:tcPr>
            <w:tcW w:w="7348" w:type="dxa"/>
            <w:vAlign w:val="center"/>
          </w:tcPr>
          <w:p>
            <w:pPr>
              <w:spacing w:line="700" w:lineRule="exact"/>
              <w:jc w:val="center"/>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浏阳市腾退村庄建设用地相关指标收益权评估报告编制（第二次）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项目负责人</w:t>
            </w:r>
          </w:p>
        </w:tc>
        <w:tc>
          <w:tcPr>
            <w:tcW w:w="7348" w:type="dxa"/>
            <w:vAlign w:val="center"/>
          </w:tcPr>
          <w:p>
            <w:pPr>
              <w:spacing w:line="700" w:lineRule="exact"/>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ascii="宋体" w:hAnsi="宋体" w:eastAsia="宋体" w:cs="Times New Roman"/>
                <w:color w:val="auto"/>
                <w:sz w:val="24"/>
                <w:szCs w:val="24"/>
              </w:rPr>
            </w:pPr>
            <w:r>
              <w:rPr>
                <w:rFonts w:hint="eastAsia" w:ascii="宋体" w:hAnsi="宋体" w:eastAsia="宋体" w:cs="宋体"/>
                <w:color w:val="auto"/>
                <w:sz w:val="24"/>
                <w:szCs w:val="24"/>
              </w:rPr>
              <w:t>投标报价（元）</w:t>
            </w:r>
          </w:p>
        </w:tc>
        <w:tc>
          <w:tcPr>
            <w:tcW w:w="7348" w:type="dxa"/>
            <w:vAlign w:val="center"/>
          </w:tcPr>
          <w:p>
            <w:pPr>
              <w:spacing w:line="400" w:lineRule="exact"/>
              <w:jc w:val="center"/>
              <w:rPr>
                <w:rFonts w:ascii="宋体" w:hAnsi="宋体" w:eastAsia="宋体" w:cs="Times New Roman"/>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服务期</w:t>
            </w:r>
          </w:p>
          <w:p>
            <w:pPr>
              <w:spacing w:line="440" w:lineRule="exact"/>
              <w:jc w:val="center"/>
              <w:rPr>
                <w:rFonts w:ascii="宋体" w:hAnsi="宋体" w:eastAsia="宋体" w:cs="宋体"/>
                <w:color w:val="auto"/>
                <w:sz w:val="24"/>
                <w:szCs w:val="24"/>
              </w:rPr>
            </w:pPr>
            <w:r>
              <w:rPr>
                <w:rFonts w:hint="eastAsia" w:ascii="宋体" w:hAnsi="宋体" w:eastAsia="宋体" w:cs="Times New Roman"/>
                <w:color w:val="auto"/>
                <w:sz w:val="24"/>
                <w:szCs w:val="24"/>
              </w:rPr>
              <w:t>承诺</w:t>
            </w:r>
          </w:p>
        </w:tc>
        <w:tc>
          <w:tcPr>
            <w:tcW w:w="7348" w:type="dxa"/>
            <w:vAlign w:val="center"/>
          </w:tcPr>
          <w:p>
            <w:pPr>
              <w:spacing w:line="400" w:lineRule="exact"/>
              <w:jc w:val="center"/>
              <w:rPr>
                <w:rFonts w:ascii="宋体" w:hAnsi="宋体" w:eastAsia="宋体" w:cs="宋体"/>
                <w:color w:val="auto"/>
                <w:sz w:val="24"/>
                <w:szCs w:val="24"/>
              </w:rPr>
            </w:pPr>
            <w:r>
              <w:rPr>
                <w:rFonts w:hint="eastAsia" w:ascii="宋体" w:hAnsi="宋体" w:eastAsia="宋体" w:cs="宋体"/>
                <w:bCs/>
                <w:color w:val="auto"/>
                <w:sz w:val="24"/>
                <w:lang w:val="en-US" w:eastAsia="zh-CN"/>
              </w:rPr>
              <w:t>在招标人提供完整资料之日起7个工作日内向招标人出具评估报告书</w:t>
            </w:r>
            <w:r>
              <w:rPr>
                <w:rFonts w:hint="eastAsia" w:ascii="宋体" w:hAnsi="宋体" w:eastAsia="宋体" w:cs="宋体"/>
                <w:color w:val="auto"/>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631" w:type="dxa"/>
            <w:vAlign w:val="center"/>
          </w:tcPr>
          <w:p>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pPr>
              <w:keepNext w:val="0"/>
              <w:keepLines w:val="0"/>
              <w:pageBreakBefore w:val="0"/>
              <w:widowControl w:val="0"/>
              <w:kinsoku/>
              <w:wordWrap/>
              <w:overflowPunct/>
              <w:topLinePunct w:val="0"/>
              <w:autoSpaceDE/>
              <w:autoSpaceDN/>
              <w:bidi w:val="0"/>
              <w:snapToGrid/>
              <w:spacing w:line="520" w:lineRule="exact"/>
              <w:ind w:left="0" w:leftChars="0" w:firstLine="0" w:firstLineChars="0"/>
              <w:jc w:val="center"/>
              <w:textAlignment w:val="auto"/>
              <w:rPr>
                <w:rFonts w:hint="eastAsia" w:ascii="宋体" w:hAnsi="宋体" w:eastAsia="宋体" w:cs="Times New Roman"/>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提交报告成果经招标人确认后一次性支付款项。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pPr>
        <w:pStyle w:val="11"/>
        <w:rPr>
          <w:rFonts w:hint="eastAsia"/>
          <w:color w:val="auto"/>
          <w:lang w:val="en-US" w:eastAsia="zh-CN"/>
        </w:rPr>
      </w:pPr>
    </w:p>
    <w:p>
      <w:pPr>
        <w:spacing w:line="400" w:lineRule="exact"/>
        <w:jc w:val="center"/>
        <w:rPr>
          <w:rFonts w:hint="eastAsia" w:ascii="宋体" w:hAnsi="宋体" w:eastAsia="宋体" w:cs="宋体"/>
          <w:color w:val="auto"/>
          <w:sz w:val="24"/>
          <w:szCs w:val="24"/>
          <w:lang w:val="sq-AL" w:eastAsia="zh-CN"/>
        </w:rPr>
      </w:pPr>
    </w:p>
    <w:p>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pPr>
        <w:spacing w:line="400" w:lineRule="exact"/>
        <w:jc w:val="center"/>
        <w:rPr>
          <w:rFonts w:hint="eastAsia" w:ascii="宋体" w:hAnsi="宋体" w:eastAsia="宋体" w:cs="宋体"/>
          <w:color w:val="auto"/>
          <w:sz w:val="24"/>
          <w:szCs w:val="24"/>
          <w:lang w:val="sq-AL"/>
        </w:rPr>
      </w:pPr>
    </w:p>
    <w:p>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pPr>
        <w:adjustRightInd w:val="0"/>
        <w:snapToGrid w:val="0"/>
        <w:rPr>
          <w:rFonts w:ascii="宋体" w:hAnsi="宋体" w:eastAsia="宋体" w:cs="宋体"/>
          <w:b/>
          <w:color w:val="auto"/>
          <w:sz w:val="32"/>
          <w:szCs w:val="32"/>
        </w:rPr>
      </w:pPr>
      <w:r>
        <w:rPr>
          <w:rFonts w:ascii="宋体" w:hAnsi="宋体" w:eastAsia="宋体" w:cs="宋体"/>
          <w:b/>
          <w:color w:val="auto"/>
          <w:sz w:val="32"/>
          <w:szCs w:val="32"/>
        </w:rPr>
        <w:br w:type="page"/>
      </w:r>
    </w:p>
    <w:p>
      <w:pPr>
        <w:adjustRightInd w:val="0"/>
        <w:snapToGrid w:val="0"/>
        <w:jc w:val="center"/>
        <w:rPr>
          <w:rFonts w:hint="eastAsia" w:ascii="黑体" w:hAnsi="宋体" w:eastAsia="黑体" w:cs="Times New Roman"/>
          <w:color w:val="auto"/>
          <w:sz w:val="30"/>
          <w:szCs w:val="30"/>
        </w:rPr>
      </w:pPr>
      <w:r>
        <w:rPr>
          <w:rFonts w:hint="eastAsia" w:ascii="黑体" w:hAnsi="宋体" w:eastAsia="黑体" w:cs="Times New Roman"/>
          <w:color w:val="auto"/>
          <w:sz w:val="30"/>
          <w:szCs w:val="30"/>
        </w:rPr>
        <w:t xml:space="preserve">分项价格表 </w:t>
      </w:r>
    </w:p>
    <w:p>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9"/>
        <w:tblpPr w:leftFromText="180" w:rightFromText="180" w:vertAnchor="text" w:horzAnchor="page" w:tblpX="1221" w:tblpY="209"/>
        <w:tblOverlap w:val="never"/>
        <w:tblW w:w="4969"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2389"/>
        <w:gridCol w:w="1303"/>
        <w:gridCol w:w="1262"/>
        <w:gridCol w:w="1716"/>
        <w:gridCol w:w="201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21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名称</w:t>
            </w: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21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default" w:ascii="宋体" w:hAnsi="宋体" w:eastAsia="宋体" w:cs="Times New Roman"/>
                <w:color w:val="auto"/>
                <w:sz w:val="32"/>
                <w:szCs w:val="21"/>
                <w:lang w:val="en-US" w:eastAsia="zh-CN"/>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21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r>
              <w:rPr>
                <w:rFonts w:hint="eastAsia" w:ascii="宋体" w:hAnsi="宋体" w:eastAsia="仿宋_GB2312" w:cs="Times New Roman"/>
                <w:color w:val="auto"/>
                <w:sz w:val="32"/>
                <w:szCs w:val="21"/>
              </w:rPr>
              <w:t>合计</w:t>
            </w: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bl>
    <w:p>
      <w:pPr>
        <w:spacing w:line="360" w:lineRule="exact"/>
        <w:ind w:firstLine="241" w:firstLineChars="100"/>
        <w:rPr>
          <w:rFonts w:hint="eastAsia" w:ascii="宋体" w:hAnsi="宋体" w:eastAsia="宋体" w:cs="宋体"/>
          <w:b/>
          <w:color w:val="auto"/>
          <w:sz w:val="24"/>
          <w:szCs w:val="24"/>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是指完成文件规定的全部工作内容，提交合格成果文件所发生的全部费用。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pPr>
        <w:widowControl w:val="0"/>
        <w:spacing w:after="120"/>
        <w:ind w:firstLine="240" w:firstLineChars="100"/>
        <w:jc w:val="both"/>
        <w:rPr>
          <w:rFonts w:hint="eastAsia" w:ascii="宋体" w:hAnsi="宋体" w:eastAsia="宋体" w:cs="宋体"/>
          <w:color w:val="auto"/>
          <w:kern w:val="2"/>
          <w:sz w:val="24"/>
          <w:szCs w:val="24"/>
          <w:lang w:val="en-US" w:eastAsia="zh-CN" w:bidi="ar-SA"/>
        </w:rPr>
      </w:pPr>
    </w:p>
    <w:p>
      <w:pPr>
        <w:adjustRightInd w:val="0"/>
        <w:snapToGrid w:val="0"/>
        <w:spacing w:line="360" w:lineRule="auto"/>
        <w:jc w:val="center"/>
        <w:rPr>
          <w:rFonts w:hint="eastAsia" w:ascii="宋体" w:hAnsi="宋体" w:eastAsia="宋体" w:cs="宋体"/>
          <w:b/>
          <w:color w:val="auto"/>
          <w:sz w:val="32"/>
          <w:szCs w:val="32"/>
        </w:rPr>
      </w:pPr>
    </w:p>
    <w:p>
      <w:pPr>
        <w:adjustRightInd w:val="0"/>
        <w:snapToGrid w:val="0"/>
        <w:spacing w:line="360" w:lineRule="auto"/>
        <w:jc w:val="center"/>
        <w:rPr>
          <w:rFonts w:hint="eastAsia" w:ascii="宋体" w:hAnsi="宋体" w:eastAsia="宋体" w:cs="宋体"/>
          <w:b/>
          <w:color w:val="auto"/>
          <w:sz w:val="32"/>
          <w:szCs w:val="32"/>
        </w:rPr>
      </w:pPr>
    </w:p>
    <w:p>
      <w:pPr>
        <w:adjustRightInd w:val="0"/>
        <w:snapToGrid w:val="0"/>
        <w:spacing w:line="360" w:lineRule="auto"/>
        <w:jc w:val="both"/>
        <w:rPr>
          <w:rFonts w:hint="eastAsia" w:ascii="宋体" w:hAnsi="宋体" w:eastAsia="宋体" w:cs="宋体"/>
          <w:b/>
          <w:color w:val="auto"/>
          <w:sz w:val="32"/>
          <w:szCs w:val="32"/>
        </w:rPr>
      </w:pPr>
    </w:p>
    <w:p>
      <w:pPr>
        <w:rPr>
          <w:rFonts w:ascii="黑体" w:hAnsi="宋体" w:eastAsia="黑体" w:cs="Times New Roman"/>
          <w:b/>
          <w:color w:val="auto"/>
          <w:sz w:val="30"/>
          <w:szCs w:val="30"/>
        </w:rPr>
      </w:pPr>
      <w:r>
        <w:rPr>
          <w:rFonts w:hint="eastAsia" w:ascii="宋体" w:hAnsi="宋体" w:eastAsia="宋体" w:cs="宋体"/>
          <w:b/>
          <w:color w:val="auto"/>
          <w:sz w:val="32"/>
          <w:szCs w:val="32"/>
          <w:lang w:val="en-US" w:eastAsia="zh-CN"/>
        </w:rPr>
        <w:br w:type="page"/>
      </w: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黑体" w:hAnsi="宋体" w:eastAsia="黑体" w:cs="Times New Roman"/>
          <w:b/>
          <w:color w:val="auto"/>
          <w:sz w:val="30"/>
          <w:szCs w:val="30"/>
        </w:rPr>
        <w:t>服务说明</w:t>
      </w:r>
    </w:p>
    <w:p>
      <w:pPr>
        <w:adjustRightInd w:val="0"/>
        <w:snapToGrid w:val="0"/>
        <w:ind w:left="-88" w:leftChars="-42" w:firstLine="281" w:firstLineChars="100"/>
        <w:jc w:val="center"/>
        <w:rPr>
          <w:rFonts w:ascii="宋体" w:hAnsi="宋体" w:eastAsia="宋体" w:cs="Times New Roman"/>
          <w:b/>
          <w:bCs/>
          <w:color w:val="auto"/>
          <w:sz w:val="28"/>
          <w:szCs w:val="28"/>
        </w:rPr>
      </w:pPr>
    </w:p>
    <w:p>
      <w:pPr>
        <w:adjustRightInd w:val="0"/>
        <w:snapToGrid w:val="0"/>
        <w:ind w:left="-88" w:leftChars="-42" w:firstLine="210" w:firstLineChars="100"/>
        <w:rPr>
          <w:rFonts w:ascii="宋体" w:hAnsi="宋体" w:eastAsia="宋体" w:cs="Times New Roman"/>
          <w:bCs/>
          <w:color w:val="auto"/>
          <w:sz w:val="21"/>
          <w:szCs w:val="21"/>
        </w:rPr>
      </w:pPr>
    </w:p>
    <w:p>
      <w:pPr>
        <w:adjustRightInd w:val="0"/>
        <w:snapToGrid w:val="0"/>
        <w:ind w:left="-88" w:leftChars="-42" w:firstLine="210" w:firstLineChars="100"/>
        <w:rPr>
          <w:rFonts w:ascii="宋体" w:hAnsi="宋体" w:eastAsia="宋体" w:cs="Times New Roman"/>
          <w:color w:val="auto"/>
          <w:sz w:val="21"/>
          <w:szCs w:val="21"/>
        </w:rPr>
      </w:pPr>
    </w:p>
    <w:p>
      <w:pPr>
        <w:adjustRightInd w:val="0"/>
        <w:snapToGrid w:val="0"/>
        <w:ind w:left="-88" w:leftChars="-42"/>
        <w:outlineLvl w:val="0"/>
        <w:rPr>
          <w:rFonts w:hint="eastAsia" w:ascii="宋体" w:hAnsi="宋体" w:eastAsia="宋体" w:cs="宋体"/>
          <w:bCs/>
          <w:color w:val="auto"/>
          <w:sz w:val="24"/>
          <w:szCs w:val="24"/>
        </w:rPr>
      </w:pPr>
    </w:p>
    <w:p>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spacing w:line="380" w:lineRule="exact"/>
        <w:rPr>
          <w:rFonts w:hint="eastAsia" w:ascii="宋体" w:hAnsi="宋体" w:eastAsia="宋体" w:cs="Times New Roman"/>
          <w:color w:val="auto"/>
          <w:sz w:val="21"/>
          <w:szCs w:val="21"/>
        </w:rPr>
      </w:pPr>
      <w:r>
        <w:rPr>
          <w:rFonts w:hint="eastAsia" w:ascii="宋体" w:hAnsi="宋体" w:eastAsia="宋体" w:cs="宋体"/>
          <w:color w:val="auto"/>
          <w:sz w:val="24"/>
          <w:szCs w:val="24"/>
        </w:rPr>
        <w:t>日 期 ：  年  月  日</w:t>
      </w:r>
    </w:p>
    <w:p>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Times New Roman"/>
          <w:color w:val="auto"/>
          <w:sz w:val="21"/>
          <w:szCs w:val="21"/>
        </w:rPr>
        <w:br w:type="page"/>
      </w:r>
    </w:p>
    <w:p>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Times New Roman"/>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9"/>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right="-9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bl>
    <w:p>
      <w:pPr>
        <w:rPr>
          <w:rFonts w:hint="eastAsia" w:ascii="Times New Roman" w:hAnsi="Times New Roman" w:eastAsia="宋体" w:cs="Times New Roman"/>
          <w:color w:val="auto"/>
          <w:sz w:val="24"/>
          <w:szCs w:val="24"/>
        </w:rPr>
      </w:pPr>
    </w:p>
    <w:p>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pPr>
        <w:adjustRightInd w:val="0"/>
        <w:snapToGrid w:val="0"/>
        <w:ind w:left="-88" w:leftChars="-42"/>
        <w:rPr>
          <w:rFonts w:ascii="宋体" w:hAnsi="宋体" w:eastAsia="宋体" w:cs="Times New Roman"/>
          <w:color w:val="auto"/>
          <w:sz w:val="24"/>
          <w:szCs w:val="24"/>
        </w:rPr>
      </w:pPr>
    </w:p>
    <w:p>
      <w:pPr>
        <w:adjustRightInd w:val="0"/>
        <w:snapToGrid w:val="0"/>
        <w:ind w:left="-88" w:leftChars="-42"/>
        <w:rPr>
          <w:rFonts w:ascii="宋体" w:hAnsi="宋体" w:eastAsia="宋体" w:cs="Times New Roman"/>
          <w:color w:val="auto"/>
          <w:sz w:val="24"/>
          <w:szCs w:val="24"/>
        </w:rPr>
      </w:pPr>
    </w:p>
    <w:p>
      <w:pPr>
        <w:adjustRightInd w:val="0"/>
        <w:snapToGrid w:val="0"/>
        <w:ind w:left="-88" w:leftChars="-42"/>
        <w:rPr>
          <w:rFonts w:ascii="宋体" w:hAnsi="宋体" w:eastAsia="宋体" w:cs="Times New Roman"/>
          <w:color w:val="auto"/>
          <w:sz w:val="24"/>
          <w:szCs w:val="24"/>
        </w:rPr>
      </w:pPr>
    </w:p>
    <w:p>
      <w:pPr>
        <w:widowControl w:val="0"/>
        <w:ind w:firstLine="480" w:firstLineChars="200"/>
        <w:jc w:val="both"/>
        <w:rPr>
          <w:rFonts w:ascii="宋体" w:hAnsi="宋体" w:eastAsia="宋体" w:cs="Times New Roman"/>
          <w:color w:val="auto"/>
          <w:kern w:val="2"/>
          <w:sz w:val="24"/>
          <w:szCs w:val="24"/>
          <w:lang w:val="en-US" w:eastAsia="zh-CN" w:bidi="ar-SA"/>
        </w:rPr>
      </w:pPr>
    </w:p>
    <w:p>
      <w:pPr>
        <w:widowControl w:val="0"/>
        <w:ind w:firstLine="480" w:firstLineChars="200"/>
        <w:jc w:val="both"/>
        <w:rPr>
          <w:rFonts w:ascii="宋体" w:hAnsi="宋体" w:eastAsia="宋体" w:cs="Times New Roman"/>
          <w:color w:val="auto"/>
          <w:kern w:val="2"/>
          <w:sz w:val="24"/>
          <w:szCs w:val="24"/>
          <w:lang w:val="en-US" w:eastAsia="zh-CN" w:bidi="ar-SA"/>
        </w:rPr>
      </w:pP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pPr>
        <w:spacing w:line="400" w:lineRule="exact"/>
        <w:jc w:val="right"/>
        <w:rPr>
          <w:rFonts w:hint="eastAsia" w:ascii="宋体" w:hAnsi="宋体" w:eastAsia="宋体" w:cs="宋体"/>
          <w:color w:val="auto"/>
          <w:sz w:val="24"/>
        </w:rPr>
      </w:pP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pPr>
        <w:spacing w:line="400" w:lineRule="exact"/>
        <w:ind w:right="600"/>
        <w:rPr>
          <w:rFonts w:hint="eastAsia" w:ascii="宋体" w:hAnsi="宋体" w:eastAsia="宋体" w:cs="宋体"/>
          <w:b/>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9" w:name="_Toc281562938"/>
      <w:bookmarkStart w:id="10" w:name="_Toc193115823"/>
      <w:bookmarkStart w:id="11" w:name="_Toc235592960"/>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9"/>
      <w:bookmarkEnd w:id="10"/>
      <w:bookmarkEnd w:id="11"/>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pPr>
        <w:spacing w:line="400" w:lineRule="exact"/>
        <w:rPr>
          <w:rFonts w:hint="eastAsia" w:ascii="宋体" w:hAnsi="宋体" w:eastAsia="宋体" w:cs="宋体"/>
          <w:color w:val="auto"/>
          <w:sz w:val="32"/>
          <w:szCs w:val="21"/>
        </w:rPr>
      </w:pPr>
    </w:p>
    <w:p>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hint="eastAsia" w:ascii="宋体" w:hAnsi="宋体" w:eastAsia="宋体" w:cs="宋体"/>
          <w:color w:val="auto"/>
          <w:sz w:val="24"/>
        </w:rPr>
      </w:pPr>
    </w:p>
    <w:p>
      <w:pPr>
        <w:spacing w:line="240" w:lineRule="exact"/>
        <w:ind w:firstLine="480" w:firstLineChars="200"/>
        <w:rPr>
          <w:rFonts w:hint="eastAsia" w:ascii="宋体" w:hAnsi="宋体" w:eastAsia="宋体" w:cs="宋体"/>
          <w:color w:val="auto"/>
          <w:sz w:val="24"/>
        </w:rPr>
      </w:pP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hint="eastAsia" w:ascii="宋体" w:hAnsi="宋体" w:eastAsia="宋体"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9"/>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bl>
    <w:p>
      <w:pPr>
        <w:widowControl w:val="0"/>
        <w:numPr>
          <w:ilvl w:val="0"/>
          <w:numId w:val="0"/>
        </w:numPr>
        <w:overflowPunct w:val="0"/>
        <w:spacing w:line="360" w:lineRule="auto"/>
        <w:jc w:val="center"/>
        <w:rPr>
          <w:rFonts w:hint="eastAsia" w:ascii="宋体" w:hAnsi="宋体" w:eastAsia="宋体" w:cs="宋体"/>
          <w:b/>
          <w:color w:val="auto"/>
          <w:sz w:val="32"/>
          <w:szCs w:val="32"/>
        </w:rPr>
      </w:pPr>
    </w:p>
    <w:p>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pPr>
        <w:spacing w:line="480" w:lineRule="exact"/>
        <w:rPr>
          <w:rFonts w:hint="eastAsia" w:ascii="黑体" w:hAnsi="Times New Roman" w:eastAsia="黑体" w:cs="Times New Roman"/>
          <w:color w:val="auto"/>
          <w:sz w:val="30"/>
          <w:szCs w:val="30"/>
        </w:rPr>
      </w:pPr>
    </w:p>
    <w:p>
      <w:pPr>
        <w:spacing w:line="480" w:lineRule="exact"/>
        <w:rPr>
          <w:rFonts w:hint="eastAsia" w:ascii="黑体" w:hAnsi="Times New Roman" w:eastAsia="黑体" w:cs="Times New Roman"/>
          <w:color w:val="auto"/>
          <w:sz w:val="30"/>
          <w:szCs w:val="30"/>
        </w:rPr>
      </w:pPr>
    </w:p>
    <w:p>
      <w:pPr>
        <w:spacing w:line="480" w:lineRule="exact"/>
        <w:rPr>
          <w:rFonts w:hint="eastAsia" w:ascii="黑体" w:hAnsi="Times New Roman" w:eastAsia="黑体" w:cs="Times New Roman"/>
          <w:color w:val="auto"/>
          <w:sz w:val="30"/>
          <w:szCs w:val="30"/>
        </w:rPr>
      </w:pPr>
    </w:p>
    <w:p>
      <w:pPr>
        <w:adjustRightInd w:val="0"/>
        <w:snapToGrid w:val="0"/>
        <w:spacing w:line="360" w:lineRule="auto"/>
        <w:outlineLvl w:val="0"/>
        <w:rPr>
          <w:rFonts w:hint="eastAsia" w:ascii="宋体" w:hAnsi="宋体" w:eastAsia="宋体" w:cs="宋体"/>
          <w:b/>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pPr>
        <w:rPr>
          <w:rFonts w:ascii="仿宋_GB2312" w:hAnsi="Times New Roman" w:eastAsia="仿宋_GB2312" w:cs="Times New Roman"/>
          <w:color w:val="auto"/>
          <w:sz w:val="32"/>
        </w:rPr>
      </w:pPr>
    </w:p>
    <w:p>
      <w:pPr>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6BAC26DB"/>
    <w:multiLevelType w:val="singleLevel"/>
    <w:tmpl w:val="6BAC26DB"/>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xMjU4OTY3YTBiYjY3OTkxZjQ4M2E3Y2RiYWM1OWYifQ=="/>
  </w:docVars>
  <w:rsids>
    <w:rsidRoot w:val="6EDB6AE2"/>
    <w:rsid w:val="00FA45D7"/>
    <w:rsid w:val="05066B4B"/>
    <w:rsid w:val="0AEC4525"/>
    <w:rsid w:val="15FC5BCD"/>
    <w:rsid w:val="1E256308"/>
    <w:rsid w:val="228C58B4"/>
    <w:rsid w:val="2AB37954"/>
    <w:rsid w:val="350F1133"/>
    <w:rsid w:val="36E25286"/>
    <w:rsid w:val="37210F1A"/>
    <w:rsid w:val="39822409"/>
    <w:rsid w:val="39CE5B60"/>
    <w:rsid w:val="418B6D06"/>
    <w:rsid w:val="4BA91A77"/>
    <w:rsid w:val="4D6B792C"/>
    <w:rsid w:val="50884351"/>
    <w:rsid w:val="50DF16BE"/>
    <w:rsid w:val="50E46660"/>
    <w:rsid w:val="55F93DFD"/>
    <w:rsid w:val="568C4808"/>
    <w:rsid w:val="5D6F463D"/>
    <w:rsid w:val="6606399F"/>
    <w:rsid w:val="6A520624"/>
    <w:rsid w:val="6C3633EA"/>
    <w:rsid w:val="6EDB6AE2"/>
    <w:rsid w:val="713127C5"/>
    <w:rsid w:val="7275753E"/>
    <w:rsid w:val="732E79F9"/>
    <w:rsid w:val="7A393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next w:val="1"/>
    <w:qFormat/>
    <w:uiPriority w:val="0"/>
    <w:pPr>
      <w:widowControl w:val="0"/>
      <w:spacing w:after="120" w:afterLines="0"/>
      <w:jc w:val="both"/>
    </w:pPr>
    <w:rPr>
      <w:rFonts w:ascii="Times New Roman" w:hAnsi="Times New Roman" w:eastAsia="宋体" w:cs="Times New Roman"/>
      <w:kern w:val="2"/>
      <w:sz w:val="21"/>
      <w:szCs w:val="24"/>
      <w:lang w:val="en-US" w:eastAsia="zh-CN" w:bidi="ar-SA"/>
    </w:rPr>
  </w:style>
  <w:style w:type="paragraph" w:styleId="3">
    <w:name w:val="annotation text"/>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Body Text Indent"/>
    <w:basedOn w:val="1"/>
    <w:next w:val="5"/>
    <w:qFormat/>
    <w:uiPriority w:val="0"/>
    <w:pPr>
      <w:ind w:firstLine="640" w:firstLineChars="200"/>
    </w:pPr>
  </w:style>
  <w:style w:type="paragraph" w:styleId="5">
    <w:name w:val="annotation subject"/>
    <w:next w:val="1"/>
    <w:qFormat/>
    <w:uiPriority w:val="0"/>
    <w:pPr>
      <w:widowControl w:val="0"/>
      <w:jc w:val="both"/>
    </w:pPr>
    <w:rPr>
      <w:rFonts w:ascii="Times New Roman" w:hAnsi="Times New Roman" w:eastAsia="宋体" w:cs="Times New Roman"/>
      <w:b/>
      <w:bCs/>
      <w:kern w:val="2"/>
      <w:sz w:val="21"/>
      <w:szCs w:val="24"/>
      <w:lang w:val="en-US" w:eastAsia="zh-CN" w:bidi="ar-SA"/>
    </w:rPr>
  </w:style>
  <w:style w:type="paragraph" w:styleId="6">
    <w:name w:val="Date"/>
    <w:basedOn w:val="1"/>
    <w:next w:val="1"/>
    <w:qFormat/>
    <w:uiPriority w:val="0"/>
    <w:pPr>
      <w:ind w:left="100" w:leftChars="2500"/>
    </w:pPr>
    <w:rPr>
      <w:rFonts w:ascii="Times New Roman" w:eastAsia="宋体"/>
    </w:rPr>
  </w:style>
  <w:style w:type="paragraph" w:styleId="7">
    <w:name w:val="Body Text Indent 2"/>
    <w:basedOn w:val="1"/>
    <w:next w:val="6"/>
    <w:qFormat/>
    <w:uiPriority w:val="0"/>
    <w:pPr>
      <w:ind w:firstLine="643" w:firstLineChars="200"/>
    </w:pPr>
  </w:style>
  <w:style w:type="paragraph" w:styleId="8">
    <w:name w:val="Body Text First Indent 2"/>
    <w:basedOn w:val="4"/>
    <w:qFormat/>
    <w:uiPriority w:val="0"/>
    <w:pPr>
      <w:spacing w:after="120"/>
      <w:ind w:left="420" w:leftChars="200" w:firstLine="420"/>
    </w:pPr>
  </w:style>
  <w:style w:type="paragraph" w:customStyle="1" w:styleId="11">
    <w:name w:val="正文文本_0"/>
    <w:next w:val="12"/>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2">
    <w:name w:val="正文_0_0"/>
    <w:next w:val="8"/>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6461</Words>
  <Characters>6790</Characters>
  <Lines>0</Lines>
  <Paragraphs>0</Paragraphs>
  <TotalTime>4</TotalTime>
  <ScaleCrop>false</ScaleCrop>
  <LinksUpToDate>false</LinksUpToDate>
  <CharactersWithSpaces>7923</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易晓璐</cp:lastModifiedBy>
  <dcterms:modified xsi:type="dcterms:W3CDTF">2024-12-23T08:09:49Z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063E4E4F6713408BA6D4B1006F5E1F37_11</vt:lpwstr>
  </property>
</Properties>
</file>