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浏阳市集里街道新屋岭社区知行公租房项目家具采购</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浏阳市集里街道新屋岭社区知行公租房项目家具采购</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浏阳市集里街道新屋岭社区知行公租房项目家具采购</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w:t>
      </w:r>
      <w:r>
        <w:rPr>
          <w:rFonts w:hint="eastAsia" w:ascii="宋体" w:hAnsi="宋体" w:eastAsia="宋体" w:cs="Times New Roman"/>
          <w:b/>
          <w:bCs/>
          <w:color w:val="auto"/>
          <w:kern w:val="2"/>
          <w:sz w:val="24"/>
          <w:szCs w:val="24"/>
          <w:lang w:val="en-US" w:eastAsia="zh-CN" w:bidi="ar-SA"/>
        </w:rPr>
        <w:t>内容</w:t>
      </w:r>
    </w:p>
    <w:tbl>
      <w:tblPr>
        <w:tblStyle w:val="20"/>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447"/>
        <w:gridCol w:w="1886"/>
        <w:gridCol w:w="1660"/>
        <w:gridCol w:w="792"/>
        <w:gridCol w:w="1096"/>
        <w:gridCol w:w="1416"/>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57"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序号</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标的</w:t>
            </w:r>
            <w:r>
              <w:rPr>
                <w:rFonts w:ascii="宋体" w:hAnsi="宋体" w:eastAsia="宋体" w:cs="Times New Roman"/>
                <w:color w:val="auto"/>
                <w:kern w:val="2"/>
                <w:sz w:val="24"/>
                <w:szCs w:val="24"/>
                <w:lang w:val="en-US" w:eastAsia="zh-CN" w:bidi="ar-SA"/>
              </w:rPr>
              <w:t>名称</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简要技术要求</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计量单位</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数量</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采购单价</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合计</w:t>
            </w:r>
            <w:r>
              <w:rPr>
                <w:rFonts w:ascii="宋体" w:hAnsi="宋体" w:eastAsia="宋体" w:cs="Times New Roman"/>
                <w:color w:val="auto"/>
                <w:kern w:val="2"/>
                <w:sz w:val="24"/>
                <w:szCs w:val="24"/>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7"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1</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椅子</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把</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8"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桌子</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240.00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23040.00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8"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衣柜</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组</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1900.00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182400.00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4</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床</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ind w:left="0" w:leftChars="0" w:right="0" w:rightChars="0" w:firstLine="0" w:firstLineChars="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床垫</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60.00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6</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床（双人间）</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580.00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20880.00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7</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床垫（双人间）</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张</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280.00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2" w:hRule="atLeast"/>
        </w:trPr>
        <w:tc>
          <w:tcPr>
            <w:tcW w:w="44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8</w:t>
            </w:r>
          </w:p>
        </w:tc>
        <w:tc>
          <w:tcPr>
            <w:tcW w:w="188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窗帘</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套</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1000.00</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2" w:hRule="atLeast"/>
        </w:trPr>
        <w:tc>
          <w:tcPr>
            <w:tcW w:w="7297" w:type="dxa"/>
            <w:gridSpan w:val="6"/>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    计</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392160.00</w:t>
            </w:r>
          </w:p>
        </w:tc>
      </w:tr>
    </w:tbl>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ascii="宋体" w:hAnsi="宋体" w:eastAsia="宋体" w:cs="Times New Roman"/>
          <w:color w:val="auto"/>
          <w:sz w:val="24"/>
          <w:szCs w:val="24"/>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（4）其他说明</w:t>
      </w:r>
      <w:r>
        <w:rPr>
          <w:rFonts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lang w:eastAsia="zh-CN"/>
        </w:rPr>
        <w:t>月至2024年</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07</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09:30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07</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04</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09</w:t>
      </w:r>
      <w:r>
        <w:rPr>
          <w:rFonts w:hint="eastAsia" w:ascii="宋体" w:hAnsi="宋体" w:eastAsia="宋体" w:cs="Times New Roman"/>
          <w:color w:val="auto"/>
          <w:sz w:val="24"/>
          <w:szCs w:val="24"/>
          <w:u w:val="single"/>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overflowPunct/>
        <w:topLinePunct w:val="0"/>
        <w:autoSpaceDE/>
        <w:autoSpaceDN/>
        <w:bidi w:val="0"/>
        <w:snapToGrid/>
        <w:spacing w:after="120" w:line="520" w:lineRule="exact"/>
        <w:ind w:left="0" w:leftChars="0" w:firstLine="480" w:firstLineChars="200"/>
        <w:jc w:val="both"/>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    06月28日 17:00</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pPr>
        <w:keepNext w:val="0"/>
        <w:keepLines w:val="0"/>
        <w:pageBreakBefore w:val="0"/>
        <w:numPr>
          <w:ilvl w:val="0"/>
          <w:numId w:val="0"/>
        </w:numPr>
        <w:kinsoku/>
        <w:overflowPunct/>
        <w:topLinePunct w:val="0"/>
        <w:autoSpaceDE/>
        <w:autoSpaceDN/>
        <w:bidi w:val="0"/>
        <w:snapToGrid/>
        <w:spacing w:line="520" w:lineRule="exact"/>
        <w:ind w:firstLine="480" w:firstLineChars="200"/>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w:t>
      </w:r>
    </w:p>
    <w:p>
      <w:pPr>
        <w:keepNext w:val="0"/>
        <w:keepLines w:val="0"/>
        <w:pageBreakBefore w:val="0"/>
        <w:numPr>
          <w:ilvl w:val="0"/>
          <w:numId w:val="0"/>
        </w:numPr>
        <w:kinsoku/>
        <w:overflowPunct/>
        <w:topLinePunct w:val="0"/>
        <w:autoSpaceDE/>
        <w:autoSpaceDN/>
        <w:bidi w:val="0"/>
        <w:snapToGrid/>
        <w:spacing w:line="520" w:lineRule="exact"/>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3.8</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after="120" w:line="52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3.9、中标方应在公示期结束后20日内与招标人对接，并完成采购合同签订；逾期未签订的，视为自愿放弃中标，并在3年内不得参与浏发集团及下属公司任何项目的招标采购活动。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四、</w:t>
      </w:r>
      <w:bookmarkStart w:id="0" w:name="_Toc3730"/>
      <w:r>
        <w:rPr>
          <w:rFonts w:hint="eastAsia" w:ascii="宋体" w:hAnsi="宋体" w:eastAsia="宋体" w:cs="Times New Roman"/>
          <w:b/>
          <w:bCs/>
          <w:color w:val="auto"/>
          <w:kern w:val="2"/>
          <w:sz w:val="24"/>
          <w:szCs w:val="24"/>
          <w:lang w:val="en" w:eastAsia="zh-CN" w:bidi="ar-SA"/>
        </w:rPr>
        <w:t>评标办法：</w:t>
      </w:r>
      <w:r>
        <w:rPr>
          <w:rFonts w:hint="eastAsia" w:ascii="宋体" w:hAnsi="宋体" w:eastAsia="宋体" w:cs="Times New Roman"/>
          <w:b/>
          <w:bCs/>
          <w:color w:val="auto"/>
          <w:kern w:val="2"/>
          <w:sz w:val="24"/>
          <w:szCs w:val="24"/>
          <w:lang w:val="en-US" w:eastAsia="zh-CN" w:bidi="ar-SA"/>
        </w:rPr>
        <w:t>最低评标价法</w:t>
      </w:r>
      <w:r>
        <w:rPr>
          <w:rFonts w:hint="eastAsia" w:ascii="宋体" w:hAnsi="宋体" w:eastAsia="宋体" w:cs="Times New Roman"/>
          <w:b/>
          <w:bCs/>
          <w:color w:val="auto"/>
          <w:kern w:val="2"/>
          <w:sz w:val="24"/>
          <w:szCs w:val="24"/>
          <w:lang w:val="en" w:eastAsia="zh-CN" w:bidi="ar-SA"/>
        </w:rPr>
        <w:t>。</w:t>
      </w:r>
      <w:bookmarkEnd w:id="0"/>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五、获取招标文件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六</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06</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26</w:t>
      </w:r>
      <w:r>
        <w:rPr>
          <w:rFonts w:hint="eastAsia" w:ascii="宋体" w:hAnsi="宋体" w:eastAsia="宋体" w:cs="Times New Roman"/>
          <w:color w:val="auto"/>
          <w:sz w:val="24"/>
          <w:szCs w:val="24"/>
        </w:rPr>
        <w:t>日</w:t>
      </w:r>
    </w:p>
    <w:p>
      <w:pPr>
        <w:rPr>
          <w:rFonts w:ascii="Calibri" w:hAnsi="Calibri" w:eastAsia="宋体"/>
          <w:color w:val="auto"/>
          <w:sz w:val="21"/>
        </w:rPr>
      </w:pPr>
    </w:p>
    <w:p>
      <w:pPr>
        <w:rPr>
          <w:rFonts w:ascii="Calibri" w:hAnsi="Calibri" w:eastAsia="宋体" w:cs="Times New Roman"/>
          <w:color w:val="auto"/>
          <w:sz w:val="21"/>
        </w:rPr>
      </w:pPr>
    </w:p>
    <w:p>
      <w:pP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br w:type="page"/>
      </w:r>
    </w:p>
    <w:p>
      <w:pPr>
        <w:pStyle w:val="19"/>
        <w:shd w:val="clear" w:color="auto" w:fill="FFFFFF"/>
        <w:spacing w:line="360" w:lineRule="auto"/>
        <w:jc w:val="center"/>
        <w:rPr>
          <w:rFonts w:hint="eastAsia" w:eastAsia="方正小标宋简体" w:cs="Times New Roman"/>
          <w:b/>
          <w:bCs/>
          <w:color w:val="auto"/>
          <w:kern w:val="2"/>
          <w:sz w:val="36"/>
          <w:szCs w:val="36"/>
          <w:lang w:eastAsia="zh-CN"/>
        </w:rPr>
      </w:pPr>
      <w:r>
        <w:rPr>
          <w:rFonts w:hint="eastAsia" w:eastAsia="宋体" w:cs="Times New Roman"/>
          <w:b/>
          <w:bCs/>
          <w:color w:val="auto"/>
          <w:kern w:val="2"/>
          <w:sz w:val="36"/>
          <w:szCs w:val="36"/>
          <w:lang w:eastAsia="zh-CN"/>
        </w:rPr>
        <w:t>浏阳市集里街道新屋岭社区知行公租房项目家具采购</w:t>
      </w:r>
    </w:p>
    <w:p>
      <w:pPr>
        <w:pStyle w:val="19"/>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9"/>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eastAsia="zh-CN"/>
        </w:rPr>
        <w:t>湖南凯博项目管理有限公司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浏阳市水利建设投资有限公司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浏阳市集里街道新屋岭社区知行公租房项目家具采购</w:t>
      </w:r>
      <w:r>
        <w:rPr>
          <w:rFonts w:hint="eastAsia" w:ascii="宋体" w:hAnsi="宋体" w:eastAsia="宋体" w:cs="宋体"/>
          <w:color w:val="auto"/>
          <w:sz w:val="24"/>
          <w:szCs w:val="24"/>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color w:val="auto"/>
          <w:kern w:val="2"/>
          <w:sz w:val="24"/>
          <w:szCs w:val="24"/>
          <w:lang w:val="en-US" w:eastAsia="zh-CN" w:bidi="ar-SA"/>
        </w:rPr>
        <w:t>椅子、桌子、衣柜、床、床垫、床（双人间）、 床垫（双人间）、窗帘等采购及安装，详见采购清单（附后）。</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浏阳市集里街道新屋岭社区</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bCs/>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收到成交通知书后7天内完成供货、安装、调试，达到交付使用标准。具体供货时间以招标人下达的通知为准。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缴纳税收证明资料:《税务登记证》复印件，或者近三个月内任意一个月（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3</w:t>
      </w:r>
      <w:r>
        <w:rPr>
          <w:rFonts w:hint="eastAsia" w:ascii="宋体" w:hAnsi="宋体" w:eastAsia="宋体" w:cs="宋体"/>
          <w:color w:val="auto"/>
          <w:spacing w:val="-2"/>
          <w:sz w:val="24"/>
          <w:szCs w:val="24"/>
          <w:lang w:eastAsia="zh-CN"/>
        </w:rPr>
        <w:t>月-2024年</w:t>
      </w:r>
      <w:r>
        <w:rPr>
          <w:rFonts w:hint="eastAsia" w:eastAsia="宋体" w:cs="宋体"/>
          <w:color w:val="auto"/>
          <w:spacing w:val="-2"/>
          <w:sz w:val="24"/>
          <w:szCs w:val="24"/>
          <w:lang w:val="en-US" w:eastAsia="zh-CN"/>
        </w:rPr>
        <w:t>5</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3</w:t>
      </w:r>
      <w:r>
        <w:rPr>
          <w:rFonts w:hint="eastAsia" w:ascii="宋体" w:hAnsi="宋体" w:eastAsia="宋体" w:cs="宋体"/>
          <w:color w:val="auto"/>
          <w:spacing w:val="-2"/>
          <w:sz w:val="24"/>
          <w:szCs w:val="24"/>
          <w:lang w:eastAsia="zh-CN"/>
        </w:rPr>
        <w:t>月-2024年</w:t>
      </w:r>
      <w:r>
        <w:rPr>
          <w:rFonts w:hint="eastAsia" w:eastAsia="宋体" w:cs="宋体"/>
          <w:color w:val="auto"/>
          <w:spacing w:val="-2"/>
          <w:sz w:val="24"/>
          <w:szCs w:val="24"/>
          <w:lang w:val="en-US" w:eastAsia="zh-CN"/>
        </w:rPr>
        <w:t>5</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pPr>
        <w:pStyle w:val="19"/>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392160.00</w:t>
      </w:r>
      <w:r>
        <w:rPr>
          <w:rFonts w:hint="eastAsia" w:ascii="宋体" w:hAnsi="宋体" w:eastAsia="宋体" w:cs="宋体"/>
          <w:b/>
          <w:bCs/>
          <w:color w:val="auto"/>
          <w:kern w:val="2"/>
          <w:sz w:val="24"/>
          <w:szCs w:val="24"/>
          <w:lang w:val="en-US" w:eastAsia="zh-CN" w:bidi="ar-SA"/>
        </w:rPr>
        <w:t>元（总价和单价均不得超采购清单价，否则作否决投标处理）</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1" w:name="_Toc359570304"/>
      <w:bookmarkStart w:id="2" w:name="_Toc401742306"/>
    </w:p>
    <w:p>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务纠纷及其他经济法律纠纷等）一次性付清余款（不计息）。</w:t>
      </w:r>
    </w:p>
    <w:p>
      <w:pPr>
        <w:pStyle w:val="4"/>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10.2、</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pStyle w:val="12"/>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10.3、所有参与项目的工作人员一切安全责任由中标人承担。</w:t>
      </w:r>
    </w:p>
    <w:bookmarkEnd w:id="1"/>
    <w:bookmarkEnd w:id="2"/>
    <w:p>
      <w:pPr>
        <w:pStyle w:val="4"/>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pStyle w:val="18"/>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bookmarkStart w:id="8" w:name="_GoBack"/>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bookmarkEnd w:id="8"/>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07</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3" w:name="_Toc300677995"/>
      <w:bookmarkStart w:id="4"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691"/>
        <w:gridCol w:w="4427"/>
        <w:gridCol w:w="677"/>
        <w:gridCol w:w="823"/>
        <w:gridCol w:w="859"/>
        <w:gridCol w:w="9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b/>
                <w:bCs/>
                <w:color w:val="auto"/>
                <w:sz w:val="32"/>
                <w:szCs w:val="32"/>
                <w:lang w:val="en-US" w:eastAsia="zh-CN"/>
              </w:rPr>
            </w:pPr>
            <w:r>
              <w:rPr>
                <w:rFonts w:hint="eastAsia"/>
                <w:b/>
                <w:bCs/>
                <w:color w:val="auto"/>
                <w:sz w:val="32"/>
                <w:szCs w:val="32"/>
                <w:lang w:val="en-US" w:eastAsia="zh-CN"/>
              </w:rPr>
              <w:t>浏阳市集里街道新屋岭社区知行公租房项目家具采购</w:t>
            </w:r>
          </w:p>
          <w:p>
            <w:pPr>
              <w:pStyle w:val="2"/>
              <w:ind w:left="0" w:leftChars="0" w:right="0" w:rightChars="0" w:firstLine="0" w:firstLineChars="0"/>
              <w:jc w:val="center"/>
              <w:rPr>
                <w:rFonts w:hint="default"/>
                <w:color w:val="auto"/>
                <w:lang w:val="en-US"/>
              </w:rPr>
            </w:pPr>
            <w:r>
              <w:rPr>
                <w:rFonts w:hint="eastAsia" w:ascii="宋体" w:hAnsi="宋体" w:eastAsia="宋体" w:cs="宋体"/>
                <w:b/>
                <w:bCs/>
                <w:i w:val="0"/>
                <w:iCs w:val="0"/>
                <w:color w:val="auto"/>
                <w:kern w:val="0"/>
                <w:sz w:val="32"/>
                <w:szCs w:val="32"/>
                <w:u w:val="none"/>
                <w:lang w:val="en-US" w:eastAsia="zh-CN" w:bidi="ar"/>
              </w:rPr>
              <w:t>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序号</w:t>
            </w:r>
          </w:p>
        </w:tc>
        <w:tc>
          <w:tcPr>
            <w:tcW w:w="3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家具名称</w:t>
            </w:r>
          </w:p>
        </w:tc>
        <w:tc>
          <w:tcPr>
            <w:tcW w:w="24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规格及参数</w:t>
            </w: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计量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单位</w:t>
            </w:r>
          </w:p>
        </w:tc>
        <w:tc>
          <w:tcPr>
            <w:tcW w:w="454"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数量</w:t>
            </w:r>
          </w:p>
        </w:tc>
        <w:tc>
          <w:tcPr>
            <w:tcW w:w="10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4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454"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全费用单价</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椅子</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3"/>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实木材料：所有部件均采用橡木或同档次实木类材料；纹理清晰自然，经高温脱脂等干燥处理后木材含水率控制在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2.五金件：采用国产品牌标准五金件。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w:t>
            </w:r>
            <w:r>
              <w:rPr>
                <w:rFonts w:hint="eastAsia" w:ascii="宋体" w:hAnsi="宋体" w:eastAsia="宋体" w:cs="宋体"/>
                <w:b/>
                <w:bCs/>
                <w:i w:val="0"/>
                <w:iCs w:val="0"/>
                <w:color w:val="auto"/>
                <w:kern w:val="0"/>
                <w:sz w:val="20"/>
                <w:szCs w:val="20"/>
                <w:u w:val="none"/>
                <w:lang w:val="en-US" w:eastAsia="zh-CN" w:bidi="ar"/>
              </w:rPr>
              <w:t>胶粘剂：水基型胶粘剂，提供由CMA或CNAS认证的第三方检测机构出具的检验报告，检验结果符合 GB33372-2020《胶粘剂挥发性有机化合物限量》和 GB 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4.工艺：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（1）椅面实木厚度≥20mm，椅脚截面规格≥50mm×30mm。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（2）榫卯连接，椅架之间采用平肩榫，弧形靠背板同椅脚采用栽榫。断面整齐，切角部件、镂槽边角、孔边、及线条要平整、圆润、光滑，不允许有毛刺、崩缺、跳刀、波浪印现象。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（3）木榫与榫孔连接位需要贴切配合，无间隙。木榫长度应是插入木方的厚度 1/2 以上，孔深度是木榫长度+0.15mm。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（4）槽、榫处需上胶且胶水使用要均匀充足。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（5）产品连接位要求紧密，无间隙，其对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角线尺寸应一致，最大误差为±2mm。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（6）椅架内四个三角木加固，椅脚安装静音脚垫。                                   5.</w:t>
            </w:r>
            <w:r>
              <w:rPr>
                <w:rFonts w:hint="eastAsia" w:ascii="宋体" w:hAnsi="宋体" w:eastAsia="宋体" w:cs="宋体"/>
                <w:b/>
                <w:bCs/>
                <w:i w:val="0"/>
                <w:iCs w:val="0"/>
                <w:color w:val="auto"/>
                <w:kern w:val="0"/>
                <w:sz w:val="20"/>
                <w:szCs w:val="20"/>
                <w:u w:val="none"/>
                <w:lang w:val="en-US" w:eastAsia="zh-CN" w:bidi="ar"/>
              </w:rPr>
              <w:t>涂饰：PU 或 PE 油漆，采用五底三面工艺。涂料须提供由CMA或CNAS认证的第三方检测机构出具的检验报告，检验结果符合GB 18581-2020《木器涂料中有害物质限量》规定的要求</w:t>
            </w:r>
            <w:r>
              <w:rPr>
                <w:rFonts w:hint="eastAsia" w:ascii="宋体" w:hAnsi="宋体" w:eastAsia="宋体" w:cs="宋体"/>
                <w:i w:val="0"/>
                <w:iCs w:val="0"/>
                <w:color w:val="auto"/>
                <w:kern w:val="0"/>
                <w:sz w:val="20"/>
                <w:szCs w:val="20"/>
                <w:u w:val="none"/>
                <w:lang w:val="en-US" w:eastAsia="zh-CN" w:bidi="ar"/>
              </w:rPr>
              <w:t>。</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把</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5760.00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桌子</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4"/>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尺寸1500mm×750mm;实木材料：台面和桌脚采用橡木或同等档次的集成材/指接材/胶合木（可根据需求选择）制作，表面经白蜡木或同等档次实木薄木贴面。纹理清晰自然，经高温脱脂等干燥处理后木材含水率控制在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2、五金件：采用国产品牌标准连接件。                          3、</w:t>
            </w:r>
            <w:r>
              <w:rPr>
                <w:rFonts w:hint="eastAsia" w:ascii="宋体" w:hAnsi="宋体" w:eastAsia="宋体" w:cs="宋体"/>
                <w:b/>
                <w:bCs/>
                <w:i w:val="0"/>
                <w:iCs w:val="0"/>
                <w:color w:val="auto"/>
                <w:kern w:val="0"/>
                <w:sz w:val="20"/>
                <w:szCs w:val="20"/>
                <w:u w:val="none"/>
                <w:lang w:val="en-US" w:eastAsia="zh-CN" w:bidi="ar"/>
              </w:rPr>
              <w:t>胶粘剂：水基型胶粘剂，提供由CMA或CNAS认证的第三方检测机构出具的检验报告，检验结果符合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xml:space="preserve">                                                     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5、涂饰：PU 或 PE 油漆，采用五底三面工艺，</w:t>
            </w:r>
            <w:r>
              <w:rPr>
                <w:rFonts w:hint="eastAsia" w:ascii="宋体" w:hAnsi="宋体" w:eastAsia="宋体" w:cs="宋体"/>
                <w:b/>
                <w:bCs/>
                <w:i w:val="0"/>
                <w:iCs w:val="0"/>
                <w:color w:val="auto"/>
                <w:kern w:val="0"/>
                <w:sz w:val="20"/>
                <w:szCs w:val="20"/>
                <w:u w:val="none"/>
                <w:lang w:val="en-US" w:eastAsia="zh-CN" w:bidi="ar"/>
              </w:rPr>
              <w:t>涂料须提供由CMA或CNAS认证的第三方检测机构出具的检验报告，检验结果符合 GB 18581-2020《木器涂料中有害物质限量》规定的要求。</w:t>
            </w:r>
            <w:r>
              <w:rPr>
                <w:rFonts w:hint="eastAsia" w:ascii="宋体" w:hAnsi="宋体" w:eastAsia="宋体" w:cs="宋体"/>
                <w:i w:val="0"/>
                <w:iCs w:val="0"/>
                <w:color w:val="auto"/>
                <w:kern w:val="0"/>
                <w:sz w:val="20"/>
                <w:szCs w:val="20"/>
                <w:u w:val="none"/>
                <w:lang w:val="en-US" w:eastAsia="zh-CN" w:bidi="ar"/>
              </w:rPr>
              <w:t xml:space="preserve">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6、成品：各项技术指标符合 GB/T 3324-2017 《木家具通用技术条件》规定的要求。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23040.00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衣柜</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尺寸1800mm*600mm*2400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2、五金件：采用国产品牌标准连接件。                           </w:t>
            </w:r>
            <w:r>
              <w:rPr>
                <w:rFonts w:hint="eastAsia" w:ascii="宋体" w:hAnsi="宋体" w:eastAsia="宋体" w:cs="宋体"/>
                <w:b/>
                <w:bCs/>
                <w:i w:val="0"/>
                <w:iCs w:val="0"/>
                <w:color w:val="auto"/>
                <w:kern w:val="0"/>
                <w:sz w:val="20"/>
                <w:szCs w:val="20"/>
                <w:u w:val="none"/>
                <w:lang w:val="en-US" w:eastAsia="zh-CN" w:bidi="ar"/>
              </w:rPr>
              <w:t>3、胶粘剂：水基型胶粘剂，提供由CMA或CNAS认证的第三方检测机构出具的检验报告，检验结果符合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5、涂饰：PU 或 PE 油漆，采用五底三面工艺，</w:t>
            </w:r>
            <w:r>
              <w:rPr>
                <w:rFonts w:hint="eastAsia" w:ascii="宋体" w:hAnsi="宋体" w:eastAsia="宋体" w:cs="宋体"/>
                <w:b/>
                <w:bCs/>
                <w:i w:val="0"/>
                <w:iCs w:val="0"/>
                <w:color w:val="auto"/>
                <w:kern w:val="0"/>
                <w:sz w:val="20"/>
                <w:szCs w:val="20"/>
                <w:u w:val="none"/>
                <w:lang w:val="en-US" w:eastAsia="zh-CN" w:bidi="ar"/>
              </w:rPr>
              <w:t>涂料须提供由CMA或CNAS认证的第三方检测机构出具的检验报告，检验结果符合 GB 18581-2020《木器涂料中有害物质限量》规定的要求。</w:t>
            </w:r>
            <w:r>
              <w:rPr>
                <w:rFonts w:hint="eastAsia" w:ascii="宋体" w:hAnsi="宋体" w:eastAsia="宋体" w:cs="宋体"/>
                <w:i w:val="0"/>
                <w:iCs w:val="0"/>
                <w:color w:val="auto"/>
                <w:kern w:val="0"/>
                <w:sz w:val="20"/>
                <w:szCs w:val="20"/>
                <w:u w:val="none"/>
                <w:lang w:val="en-US" w:eastAsia="zh-CN" w:bidi="ar"/>
              </w:rPr>
              <w:t xml:space="preserve">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6、成品：各项技术指标符合 GB/T 3324-2017 《木家具通用技术条件》规定的要求。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182400.00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床</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1.床1.8m宽×2.0m长（含安装）.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3.五金件：采用标准五金件。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4.胶粘剂：水基型胶粘剂，</w:t>
            </w:r>
            <w:r>
              <w:rPr>
                <w:rFonts w:hint="eastAsia" w:ascii="宋体" w:hAnsi="宋体" w:eastAsia="宋体" w:cs="宋体"/>
                <w:b/>
                <w:bCs/>
                <w:i w:val="0"/>
                <w:iCs w:val="0"/>
                <w:color w:val="auto"/>
                <w:kern w:val="0"/>
                <w:sz w:val="20"/>
                <w:szCs w:val="20"/>
                <w:u w:val="none"/>
                <w:lang w:val="en-US" w:eastAsia="zh-CN" w:bidi="ar"/>
              </w:rPr>
              <w:t>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5.工艺：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（1）采用金属件连接。</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（4）螺丝孔深度根据产品具体部件板材的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厚度和连固条的厚度确定定位，进板块的螺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丝长度一般为五分之三。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横档尺寸为 50mm×30mm，床梃尺寸为80mm×15mm，床脚尺寸为 40mm×40mm。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6、涂饰：PU 或 PE 油漆，采用五底三面工艺，</w:t>
            </w:r>
            <w:r>
              <w:rPr>
                <w:rFonts w:hint="eastAsia" w:ascii="宋体" w:hAnsi="宋体" w:eastAsia="宋体" w:cs="宋体"/>
                <w:b/>
                <w:bCs/>
                <w:i w:val="0"/>
                <w:iCs w:val="0"/>
                <w:color w:val="auto"/>
                <w:kern w:val="0"/>
                <w:sz w:val="20"/>
                <w:szCs w:val="20"/>
                <w:u w:val="none"/>
                <w:lang w:val="en-US" w:eastAsia="zh-CN" w:bidi="ar"/>
              </w:rPr>
              <w:t xml:space="preserve">涂料须提供由CMA或CNAS认证的第三方检测机构出具的检验报告，检验结果符合 GB 18581-2020《木器涂料中有害物质限量》规定的要求。 </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7.成品：符合 GB/T 3324-2017《木家具通用技术条件》规定的要求。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床垫</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1.床垫1.8m宽×2.0长（含安装）。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4.高度不低于10公分。</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床（双人间）</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1.床1.5m宽×2.0m长（含安装）。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3.五金件：采用标准五金件。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4.胶粘剂：水基型胶粘剂，</w:t>
            </w:r>
            <w:r>
              <w:rPr>
                <w:rFonts w:hint="eastAsia" w:ascii="宋体" w:hAnsi="宋体" w:eastAsia="宋体" w:cs="宋体"/>
                <w:b/>
                <w:bCs/>
                <w:i w:val="0"/>
                <w:iCs w:val="0"/>
                <w:color w:val="auto"/>
                <w:kern w:val="0"/>
                <w:sz w:val="20"/>
                <w:szCs w:val="20"/>
                <w:u w:val="none"/>
                <w:lang w:val="en-US" w:eastAsia="zh-CN" w:bidi="ar"/>
              </w:rPr>
              <w:t>提供由CMA或CNAS认证的第三方检测机构出具的检验报告，检验结果符合 GB33372-2020《胶粘剂挥发性有机化合物限量》和 GB18583-2008《室内装饰装修材料胶粘剂中有害物质限量》标准</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5.工艺：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（1）采用金属件连接。</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（2）板材断面整齐，切角部件、镂槽边角、孔边及线条平整、圆润、光滑，不允许有毛刺、崩缺、跳刀、波浪印现象。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（3）产品各部件连接位要求紧密，无间隙，板材对角线尺寸应一致，最大误差为±2mm。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（4）螺丝孔深度根据产品具体部件板材的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厚度和连固条的厚度确定定位，进板块的螺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丝长度一般为五分之三。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横档尺寸为 50mm×30mm，床梃尺寸为80mm×15mm，床脚尺寸为 40mm×40mm。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6、涂饰：PU 或 PE 油漆，采用五底三面工艺，</w:t>
            </w:r>
            <w:r>
              <w:rPr>
                <w:rFonts w:hint="eastAsia" w:ascii="宋体" w:hAnsi="宋体" w:eastAsia="宋体" w:cs="宋体"/>
                <w:b/>
                <w:bCs/>
                <w:i w:val="0"/>
                <w:iCs w:val="0"/>
                <w:color w:val="auto"/>
                <w:kern w:val="0"/>
                <w:sz w:val="20"/>
                <w:szCs w:val="20"/>
                <w:u w:val="none"/>
                <w:lang w:val="en-US" w:eastAsia="zh-CN" w:bidi="ar"/>
              </w:rPr>
              <w:t xml:space="preserve">涂料须提供由CMA或CNAS认证的第三方检测机构出具的检验报告，检验结果符合 GB 18581-2020《木器涂料中有害物质限量》规定的要求。 </w:t>
            </w: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7.成品：符合 GB/T 3324-2017《木家具通用技术条件》规定的要求。</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580.00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20880.00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床垫（双人间）</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1.床垫1.5m宽×2.0长（含安装）。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2.绗缝层及填充层：正面选用抗菌针织面料，220g/㎡床垫专用面料，3维无胶棉（200g/㎡ 1cm），超软海绵，（20kg/m3 1cm），30g/㎡纤维无纺布，热熔棉1层（350g/㎡  0.4cm）；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3·边框：抗菌针织面料，220g/㎡床垫专用面料，海绵层选用3维无胶棉（200g/㎡  1cm），30g/㎡纤维无纺布，35mm涤纶编织带包边带， Ф25mm通风孔气眼4只透气孔。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4.高度不低于10公分。</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c>
          <w:tcPr>
            <w:tcW w:w="454"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窗帘</w:t>
            </w:r>
          </w:p>
        </w:tc>
        <w:tc>
          <w:tcPr>
            <w:tcW w:w="24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布窗帘（含安装）；</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2.遮光层采用热熔复合工艺,遮光层耐用性高，永不脱落。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3.铝合金窗帘道轨（含安装）。 </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w:t>
            </w: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1000.00</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合计</w:t>
            </w:r>
          </w:p>
        </w:tc>
        <w:tc>
          <w:tcPr>
            <w:tcW w:w="2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0"/>
                <w:szCs w:val="20"/>
                <w:u w:val="none"/>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392160.00</w:t>
            </w:r>
          </w:p>
        </w:tc>
      </w:tr>
    </w:tbl>
    <w:p>
      <w:pPr>
        <w:pStyle w:val="2"/>
        <w:rPr>
          <w:rFonts w:hint="default"/>
          <w:color w:val="auto"/>
          <w:lang w:val="en-US" w:eastAsia="zh-CN"/>
        </w:rPr>
      </w:pPr>
    </w:p>
    <w:p>
      <w:pPr>
        <w:spacing w:line="400" w:lineRule="exact"/>
        <w:rPr>
          <w:rFonts w:ascii="宋体" w:hAnsi="宋体" w:eastAsia="宋体"/>
          <w:bCs/>
          <w:color w:val="auto"/>
          <w:sz w:val="24"/>
        </w:rPr>
      </w:pPr>
      <w:r>
        <w:rPr>
          <w:rFonts w:ascii="黑体" w:eastAsia="黑体" w:cs="黑体"/>
          <w:b/>
          <w:bCs/>
          <w:color w:val="auto"/>
          <w:szCs w:val="32"/>
        </w:rPr>
        <w:br w:type="page"/>
      </w:r>
      <w:bookmarkEnd w:id="3"/>
      <w:bookmarkEnd w:id="4"/>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浏阳市集里街道新屋岭社区知行公租房项目家具采购</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7"/>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8"/>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pPr>
              <w:spacing w:line="700" w:lineRule="exact"/>
              <w:jc w:val="center"/>
              <w:rPr>
                <w:rFonts w:ascii="宋体" w:hAnsi="宋体" w:eastAsia="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浏阳市集里街道新屋岭社区知行公租房项目家具采购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收到成交通知书后7天内完成供货、安装、调试，达到交付使用标准。具体供货时间以招标人下达的通知为准。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rPr>
                <w:rFonts w:hint="eastAsia"/>
                <w:lang w:val="sq-AL"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olor w:val="auto"/>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r>
              <w:rPr>
                <w:rFonts w:hint="eastAsia" w:ascii="宋体" w:hAnsi="宋体"/>
                <w:color w:val="auto"/>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pStyle w:val="12"/>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both"/>
        <w:rPr>
          <w:rFonts w:hint="eastAsia" w:ascii="宋体" w:hAnsi="宋体" w:eastAsia="宋体" w:cs="宋体"/>
          <w:b/>
          <w:color w:val="auto"/>
          <w:szCs w:val="32"/>
        </w:rPr>
      </w:pPr>
    </w:p>
    <w:p>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pPr>
        <w:adjustRightInd w:val="0"/>
        <w:snapToGrid w:val="0"/>
        <w:ind w:left="-134" w:leftChars="-42" w:firstLine="281" w:firstLineChars="100"/>
        <w:jc w:val="center"/>
        <w:rPr>
          <w:rFonts w:ascii="宋体" w:hAnsi="宋体" w:eastAsia="宋体"/>
          <w:b/>
          <w:bCs/>
          <w:color w:val="auto"/>
          <w:sz w:val="28"/>
          <w:szCs w:val="28"/>
        </w:rPr>
      </w:pP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br w:type="page"/>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35"/>
        <w:rPr>
          <w:rFonts w:ascii="宋体" w:hAnsi="宋体" w:eastAsia="宋体"/>
          <w:color w:val="auto"/>
          <w:sz w:val="24"/>
          <w:szCs w:val="24"/>
        </w:rPr>
      </w:pPr>
    </w:p>
    <w:p>
      <w:pPr>
        <w:pStyle w:val="35"/>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5" w:name="_Toc281562938"/>
      <w:bookmarkStart w:id="6" w:name="_Toc193115823"/>
      <w:bookmarkStart w:id="7"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pStyle w:val="3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5"/>
      <w:bookmarkEnd w:id="6"/>
      <w:bookmarkEnd w:id="7"/>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pPr>
        <w:spacing w:line="400" w:lineRule="exact"/>
        <w:rPr>
          <w:rFonts w:hint="eastAsia" w:ascii="宋体" w:hAnsi="宋体" w:eastAsia="宋体" w:cs="宋体"/>
          <w:color w:val="auto"/>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pStyle w:val="35"/>
        <w:rPr>
          <w:rFonts w:hint="eastAsia"/>
          <w:color w:val="auto"/>
        </w:rPr>
      </w:pPr>
    </w:p>
    <w:p>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pPr>
        <w:pStyle w:val="2"/>
        <w:rPr>
          <w:rFonts w:hint="eastAsia"/>
          <w:color w:val="auto"/>
          <w:sz w:val="24"/>
          <w:szCs w:val="24"/>
        </w:rPr>
      </w:pPr>
      <w:r>
        <w:rPr>
          <w:rFonts w:hint="eastAsia" w:ascii="宋体" w:hAnsi="宋体" w:eastAsia="宋体" w:cs="宋体"/>
          <w:b/>
          <w:color w:val="auto"/>
          <w:sz w:val="24"/>
          <w:szCs w:val="24"/>
          <w:lang w:val="en-US" w:eastAsia="zh-CN"/>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Cs w:val="32"/>
          <w:lang w:eastAsia="zh-CN"/>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pStyle w:val="18"/>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pStyle w:val="18"/>
        <w:spacing w:line="420" w:lineRule="exact"/>
        <w:rPr>
          <w:rFonts w:hint="eastAsia"/>
          <w:color w:val="auto"/>
        </w:rPr>
      </w:pPr>
    </w:p>
    <w:p>
      <w:pPr>
        <w:pStyle w:val="18"/>
        <w:spacing w:line="420" w:lineRule="exact"/>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E00C19-7843-4A30-89DB-E501169241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0FC4C9D-623D-4F0A-924B-78C43D023225}"/>
  </w:font>
  <w:font w:name="仿宋_GB2312">
    <w:panose1 w:val="02010609030101010101"/>
    <w:charset w:val="86"/>
    <w:family w:val="modern"/>
    <w:pitch w:val="default"/>
    <w:sig w:usb0="00000001" w:usb1="080E0000" w:usb2="00000000" w:usb3="00000000" w:csb0="00040000" w:csb1="00000000"/>
    <w:embedRegular r:id="rId3" w:fontKey="{0BE47FF0-7693-4DCD-82F7-84F532A07F97}"/>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4" w:fontKey="{3E66309C-C60B-404A-9A9D-D3D463282A25}"/>
  </w:font>
  <w:font w:name="等线">
    <w:panose1 w:val="02010600030101010101"/>
    <w:charset w:val="86"/>
    <w:family w:val="auto"/>
    <w:pitch w:val="default"/>
    <w:sig w:usb0="A00002BF" w:usb1="38CF7CFA" w:usb2="00000016" w:usb3="00000000" w:csb0="0004000F" w:csb1="00000000"/>
    <w:embedRegular r:id="rId5" w:fontKey="{6642369E-F339-4DFC-825A-A0EE9CE14006}"/>
  </w:font>
  <w:font w:name="仿宋">
    <w:panose1 w:val="02010609060101010101"/>
    <w:charset w:val="86"/>
    <w:family w:val="auto"/>
    <w:pitch w:val="default"/>
    <w:sig w:usb0="800002BF" w:usb1="38CF7CFA" w:usb2="00000016" w:usb3="00000000" w:csb0="00040001" w:csb1="00000000"/>
    <w:embedRegular r:id="rId6" w:fontKey="{05B3A9A5-700F-4FF8-B89A-244CF114562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26</w:t>
    </w:r>
    <w: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244A0"/>
    <w:multiLevelType w:val="singleLevel"/>
    <w:tmpl w:val="B46244A0"/>
    <w:lvl w:ilvl="0" w:tentative="0">
      <w:start w:val="1"/>
      <w:numFmt w:val="decimal"/>
      <w:lvlText w:val="%1."/>
      <w:lvlJc w:val="left"/>
      <w:pPr>
        <w:tabs>
          <w:tab w:val="left" w:pos="312"/>
        </w:tabs>
      </w:pPr>
    </w:lvl>
  </w:abstractNum>
  <w:abstractNum w:abstractNumId="1">
    <w:nsid w:val="11EA3E37"/>
    <w:multiLevelType w:val="singleLevel"/>
    <w:tmpl w:val="11EA3E37"/>
    <w:lvl w:ilvl="0" w:tentative="0">
      <w:start w:val="1"/>
      <w:numFmt w:val="decimal"/>
      <w:lvlText w:val="%1."/>
      <w:lvlJc w:val="left"/>
      <w:pPr>
        <w:tabs>
          <w:tab w:val="left" w:pos="312"/>
        </w:tabs>
      </w:pPr>
    </w:lvl>
  </w:abstractNum>
  <w:abstractNum w:abstractNumId="2">
    <w:nsid w:val="1D3C0261"/>
    <w:multiLevelType w:val="singleLevel"/>
    <w:tmpl w:val="1D3C0261"/>
    <w:lvl w:ilvl="0" w:tentative="0">
      <w:start w:val="1"/>
      <w:numFmt w:val="chineseCounting"/>
      <w:suff w:val="nothing"/>
      <w:lvlText w:val="%1、"/>
      <w:lvlJc w:val="left"/>
      <w:rPr>
        <w:rFonts w:hint="eastAsia"/>
      </w:rPr>
    </w:lvl>
  </w:abstractNum>
  <w:abstractNum w:abstractNumId="3">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4">
    <w:nsid w:val="2B2BE19E"/>
    <w:multiLevelType w:val="singleLevel"/>
    <w:tmpl w:val="2B2BE19E"/>
    <w:lvl w:ilvl="0" w:tentative="0">
      <w:start w:val="1"/>
      <w:numFmt w:val="decimal"/>
      <w:lvlText w:val="%1."/>
      <w:lvlJc w:val="left"/>
      <w:pPr>
        <w:tabs>
          <w:tab w:val="left" w:pos="312"/>
        </w:tabs>
      </w:pPr>
    </w:lvl>
  </w:abstractNum>
  <w:abstractNum w:abstractNumId="5">
    <w:nsid w:val="48C34513"/>
    <w:multiLevelType w:val="singleLevel"/>
    <w:tmpl w:val="48C34513"/>
    <w:lvl w:ilvl="0" w:tentative="0">
      <w:start w:val="1"/>
      <w:numFmt w:val="chineseCounting"/>
      <w:suff w:val="nothing"/>
      <w:lvlText w:val="%1、"/>
      <w:lvlJc w:val="left"/>
      <w:pPr>
        <w:ind w:left="640"/>
      </w:pPr>
      <w:rPr>
        <w:rFonts w:hint="eastAsia"/>
        <w:b/>
        <w:bCs/>
      </w:rPr>
    </w:lvl>
  </w:abstractNum>
  <w:abstractNum w:abstractNumId="6">
    <w:nsid w:val="6BAC26DB"/>
    <w:multiLevelType w:val="singleLevel"/>
    <w:tmpl w:val="6BAC26DB"/>
    <w:lvl w:ilvl="0" w:tentative="0">
      <w:start w:val="1"/>
      <w:numFmt w:val="decimal"/>
      <w:suff w:val="nothing"/>
      <w:lvlText w:val="%1、"/>
      <w:lvlJc w:val="left"/>
    </w:lvl>
  </w:abstractNum>
  <w:abstractNum w:abstractNumId="7">
    <w:nsid w:val="786019F8"/>
    <w:multiLevelType w:val="singleLevel"/>
    <w:tmpl w:val="786019F8"/>
    <w:lvl w:ilvl="0" w:tentative="0">
      <w:start w:val="1"/>
      <w:numFmt w:val="decimal"/>
      <w:lvlText w:val="%1."/>
      <w:lvlJc w:val="left"/>
      <w:pPr>
        <w:tabs>
          <w:tab w:val="left" w:pos="312"/>
        </w:tabs>
      </w:pPr>
    </w:lvl>
  </w:abstractNum>
  <w:num w:numId="1">
    <w:abstractNumId w:val="5"/>
  </w:num>
  <w:num w:numId="2">
    <w:abstractNumId w:val="3"/>
  </w:num>
  <w:num w:numId="3">
    <w:abstractNumId w:val="4"/>
  </w:num>
  <w:num w:numId="4">
    <w:abstractNumId w:val="7"/>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Q2MGUwZWQ0YjRlMDNlNmQ4NDMwYjI4OWZmMzMyNGQ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2134"/>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0B405F"/>
    <w:rsid w:val="016B1BE3"/>
    <w:rsid w:val="018837F5"/>
    <w:rsid w:val="02A36F04"/>
    <w:rsid w:val="02AF1E39"/>
    <w:rsid w:val="02C95174"/>
    <w:rsid w:val="0304013A"/>
    <w:rsid w:val="03172234"/>
    <w:rsid w:val="03EA6B59"/>
    <w:rsid w:val="04760665"/>
    <w:rsid w:val="056667E0"/>
    <w:rsid w:val="05760640"/>
    <w:rsid w:val="05FF34EC"/>
    <w:rsid w:val="06A93B3E"/>
    <w:rsid w:val="06B82166"/>
    <w:rsid w:val="07A0147A"/>
    <w:rsid w:val="08527CCD"/>
    <w:rsid w:val="08B71FD2"/>
    <w:rsid w:val="08FB1FEF"/>
    <w:rsid w:val="09D72FDB"/>
    <w:rsid w:val="0A926DE4"/>
    <w:rsid w:val="0AA277E2"/>
    <w:rsid w:val="0AC3275A"/>
    <w:rsid w:val="0BE7577C"/>
    <w:rsid w:val="0D711CA8"/>
    <w:rsid w:val="0FE94E08"/>
    <w:rsid w:val="0FF24D96"/>
    <w:rsid w:val="101C2614"/>
    <w:rsid w:val="10472EC0"/>
    <w:rsid w:val="10EF07ED"/>
    <w:rsid w:val="119D398F"/>
    <w:rsid w:val="11B067E6"/>
    <w:rsid w:val="131F0B0D"/>
    <w:rsid w:val="13286C49"/>
    <w:rsid w:val="135A26E9"/>
    <w:rsid w:val="14061736"/>
    <w:rsid w:val="14442958"/>
    <w:rsid w:val="145C202D"/>
    <w:rsid w:val="15E93E01"/>
    <w:rsid w:val="16201961"/>
    <w:rsid w:val="172B6DB1"/>
    <w:rsid w:val="176B6EB6"/>
    <w:rsid w:val="17D467C1"/>
    <w:rsid w:val="18357AEC"/>
    <w:rsid w:val="19EC1F7B"/>
    <w:rsid w:val="1A776299"/>
    <w:rsid w:val="1A7E2DD3"/>
    <w:rsid w:val="1B416BA3"/>
    <w:rsid w:val="1B84270A"/>
    <w:rsid w:val="1BAF7E03"/>
    <w:rsid w:val="1BFB57C3"/>
    <w:rsid w:val="1C0A66B0"/>
    <w:rsid w:val="1C844923"/>
    <w:rsid w:val="1D212427"/>
    <w:rsid w:val="1E2F6452"/>
    <w:rsid w:val="1E4171B5"/>
    <w:rsid w:val="1EEA44AE"/>
    <w:rsid w:val="207F2647"/>
    <w:rsid w:val="21300659"/>
    <w:rsid w:val="21357568"/>
    <w:rsid w:val="219C26C7"/>
    <w:rsid w:val="22BE4F7D"/>
    <w:rsid w:val="22D37A8D"/>
    <w:rsid w:val="236E0751"/>
    <w:rsid w:val="24A130F4"/>
    <w:rsid w:val="24E30CCB"/>
    <w:rsid w:val="25996691"/>
    <w:rsid w:val="261C0F13"/>
    <w:rsid w:val="268B36A0"/>
    <w:rsid w:val="27602464"/>
    <w:rsid w:val="28CD5F1A"/>
    <w:rsid w:val="297E53AF"/>
    <w:rsid w:val="29F9119F"/>
    <w:rsid w:val="2A0C65CE"/>
    <w:rsid w:val="2A275F91"/>
    <w:rsid w:val="2A657414"/>
    <w:rsid w:val="2B277634"/>
    <w:rsid w:val="2B575030"/>
    <w:rsid w:val="2B962EFD"/>
    <w:rsid w:val="2BA975C9"/>
    <w:rsid w:val="2BC37437"/>
    <w:rsid w:val="2DB114D1"/>
    <w:rsid w:val="2EF24DDC"/>
    <w:rsid w:val="2EF64AA8"/>
    <w:rsid w:val="2F7215C9"/>
    <w:rsid w:val="2F80100D"/>
    <w:rsid w:val="2FBC0429"/>
    <w:rsid w:val="30152CEB"/>
    <w:rsid w:val="30E346C5"/>
    <w:rsid w:val="311E33C6"/>
    <w:rsid w:val="317225EF"/>
    <w:rsid w:val="317D4AA0"/>
    <w:rsid w:val="319A3E77"/>
    <w:rsid w:val="31BF20FC"/>
    <w:rsid w:val="31D93E47"/>
    <w:rsid w:val="32F47928"/>
    <w:rsid w:val="333844EA"/>
    <w:rsid w:val="3362342A"/>
    <w:rsid w:val="339C0F87"/>
    <w:rsid w:val="33FD2911"/>
    <w:rsid w:val="34C236B3"/>
    <w:rsid w:val="34E8176B"/>
    <w:rsid w:val="3543191C"/>
    <w:rsid w:val="356C1DB3"/>
    <w:rsid w:val="36C33F4E"/>
    <w:rsid w:val="36C9452B"/>
    <w:rsid w:val="370C6B36"/>
    <w:rsid w:val="388A4359"/>
    <w:rsid w:val="389F6046"/>
    <w:rsid w:val="38CD0DC8"/>
    <w:rsid w:val="38DB2E76"/>
    <w:rsid w:val="392051F7"/>
    <w:rsid w:val="39734A7F"/>
    <w:rsid w:val="39882687"/>
    <w:rsid w:val="39DD4266"/>
    <w:rsid w:val="3A35391F"/>
    <w:rsid w:val="3A405D74"/>
    <w:rsid w:val="3A493B69"/>
    <w:rsid w:val="3A4D14B3"/>
    <w:rsid w:val="3AA46173"/>
    <w:rsid w:val="3AAA5936"/>
    <w:rsid w:val="3B1C200A"/>
    <w:rsid w:val="3BB93D85"/>
    <w:rsid w:val="3C36585F"/>
    <w:rsid w:val="3C455B7B"/>
    <w:rsid w:val="3C601127"/>
    <w:rsid w:val="3D4F08AD"/>
    <w:rsid w:val="3D754209"/>
    <w:rsid w:val="3DB114C5"/>
    <w:rsid w:val="3DBA7228"/>
    <w:rsid w:val="3E792264"/>
    <w:rsid w:val="3E824A08"/>
    <w:rsid w:val="3FE4392D"/>
    <w:rsid w:val="409B11BC"/>
    <w:rsid w:val="41004EBC"/>
    <w:rsid w:val="411C6131"/>
    <w:rsid w:val="41835270"/>
    <w:rsid w:val="41AC45E7"/>
    <w:rsid w:val="42C245F0"/>
    <w:rsid w:val="43172E84"/>
    <w:rsid w:val="43851154"/>
    <w:rsid w:val="45E36925"/>
    <w:rsid w:val="461E296B"/>
    <w:rsid w:val="46E9475C"/>
    <w:rsid w:val="474A5951"/>
    <w:rsid w:val="47A975E8"/>
    <w:rsid w:val="47AF5B63"/>
    <w:rsid w:val="47F6425A"/>
    <w:rsid w:val="481B6648"/>
    <w:rsid w:val="48873598"/>
    <w:rsid w:val="488E56C9"/>
    <w:rsid w:val="49C51E07"/>
    <w:rsid w:val="4A1672C9"/>
    <w:rsid w:val="4A927968"/>
    <w:rsid w:val="4AB923AD"/>
    <w:rsid w:val="4AD142B4"/>
    <w:rsid w:val="4AD76A87"/>
    <w:rsid w:val="4B225F5B"/>
    <w:rsid w:val="4B467D8D"/>
    <w:rsid w:val="4D225F85"/>
    <w:rsid w:val="4D745398"/>
    <w:rsid w:val="4DBD4199"/>
    <w:rsid w:val="4DC847E6"/>
    <w:rsid w:val="4E4F25A9"/>
    <w:rsid w:val="4E5D2A1D"/>
    <w:rsid w:val="4EC84DA7"/>
    <w:rsid w:val="4F2D0CF3"/>
    <w:rsid w:val="4F4043C0"/>
    <w:rsid w:val="4F486052"/>
    <w:rsid w:val="4FD526B0"/>
    <w:rsid w:val="4FDF6474"/>
    <w:rsid w:val="4FE92D84"/>
    <w:rsid w:val="51844B18"/>
    <w:rsid w:val="523379E8"/>
    <w:rsid w:val="52564C31"/>
    <w:rsid w:val="53126081"/>
    <w:rsid w:val="538464C5"/>
    <w:rsid w:val="53B048A1"/>
    <w:rsid w:val="54D71777"/>
    <w:rsid w:val="54EC5678"/>
    <w:rsid w:val="54FE4BE1"/>
    <w:rsid w:val="56A07E12"/>
    <w:rsid w:val="56C669B8"/>
    <w:rsid w:val="56C70DA8"/>
    <w:rsid w:val="574972F0"/>
    <w:rsid w:val="57730A07"/>
    <w:rsid w:val="577A28D9"/>
    <w:rsid w:val="57951DAD"/>
    <w:rsid w:val="580600D6"/>
    <w:rsid w:val="5819113A"/>
    <w:rsid w:val="581B1CCB"/>
    <w:rsid w:val="58333A8E"/>
    <w:rsid w:val="59D52B44"/>
    <w:rsid w:val="5A250E62"/>
    <w:rsid w:val="5A643F8C"/>
    <w:rsid w:val="5AB21460"/>
    <w:rsid w:val="5C01668A"/>
    <w:rsid w:val="5C1F025F"/>
    <w:rsid w:val="5C672A4B"/>
    <w:rsid w:val="5C713B4F"/>
    <w:rsid w:val="5D0F1B5C"/>
    <w:rsid w:val="5D4F36BF"/>
    <w:rsid w:val="5E533EFE"/>
    <w:rsid w:val="5EDF192E"/>
    <w:rsid w:val="5EEE5C79"/>
    <w:rsid w:val="5FE07D05"/>
    <w:rsid w:val="603D6B74"/>
    <w:rsid w:val="608302E6"/>
    <w:rsid w:val="60E70C20"/>
    <w:rsid w:val="61675D68"/>
    <w:rsid w:val="619D51F2"/>
    <w:rsid w:val="61BC3180"/>
    <w:rsid w:val="61C7181B"/>
    <w:rsid w:val="621C45F4"/>
    <w:rsid w:val="62EF6A6F"/>
    <w:rsid w:val="6300246C"/>
    <w:rsid w:val="633E6A7E"/>
    <w:rsid w:val="63CC2983"/>
    <w:rsid w:val="63E8476F"/>
    <w:rsid w:val="642527C7"/>
    <w:rsid w:val="643D0CE9"/>
    <w:rsid w:val="65305686"/>
    <w:rsid w:val="65950CDA"/>
    <w:rsid w:val="664D7FD1"/>
    <w:rsid w:val="666D103A"/>
    <w:rsid w:val="668B2076"/>
    <w:rsid w:val="67177D85"/>
    <w:rsid w:val="674C5450"/>
    <w:rsid w:val="67FE01D5"/>
    <w:rsid w:val="68080D79"/>
    <w:rsid w:val="69912070"/>
    <w:rsid w:val="6A065CAF"/>
    <w:rsid w:val="6B716EEF"/>
    <w:rsid w:val="6BB37A16"/>
    <w:rsid w:val="6C7A357E"/>
    <w:rsid w:val="6CFB45E8"/>
    <w:rsid w:val="6DA45FD1"/>
    <w:rsid w:val="6DF118F0"/>
    <w:rsid w:val="6E0B1107"/>
    <w:rsid w:val="6E3367C9"/>
    <w:rsid w:val="6E537B51"/>
    <w:rsid w:val="6E662566"/>
    <w:rsid w:val="6E8543EA"/>
    <w:rsid w:val="6EF467C3"/>
    <w:rsid w:val="6F6D70DC"/>
    <w:rsid w:val="6FBF42A5"/>
    <w:rsid w:val="6FF80036"/>
    <w:rsid w:val="703A4F69"/>
    <w:rsid w:val="70B8767B"/>
    <w:rsid w:val="72CA69D6"/>
    <w:rsid w:val="735C549D"/>
    <w:rsid w:val="736B6093"/>
    <w:rsid w:val="73A227C8"/>
    <w:rsid w:val="73A40C1E"/>
    <w:rsid w:val="74116BAA"/>
    <w:rsid w:val="7432016B"/>
    <w:rsid w:val="75034787"/>
    <w:rsid w:val="750615ED"/>
    <w:rsid w:val="75E033DC"/>
    <w:rsid w:val="769D2054"/>
    <w:rsid w:val="77972F48"/>
    <w:rsid w:val="78D452FB"/>
    <w:rsid w:val="790E7239"/>
    <w:rsid w:val="79237EC4"/>
    <w:rsid w:val="7BD27A9C"/>
    <w:rsid w:val="7C17584F"/>
    <w:rsid w:val="7C5D1248"/>
    <w:rsid w:val="7CA04960"/>
    <w:rsid w:val="7D96137B"/>
    <w:rsid w:val="7DBC2CA6"/>
    <w:rsid w:val="7E020594"/>
    <w:rsid w:val="7E5758E5"/>
    <w:rsid w:val="7EAB552B"/>
    <w:rsid w:val="7EF667A6"/>
    <w:rsid w:val="7F0D0E0F"/>
    <w:rsid w:val="7FB10D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8">
    <w:name w:val="heading 1"/>
    <w:basedOn w:val="1"/>
    <w:next w:val="1"/>
    <w:qFormat/>
    <w:uiPriority w:val="0"/>
    <w:pPr>
      <w:keepNext/>
      <w:spacing w:before="240" w:after="60"/>
      <w:outlineLvl w:val="0"/>
    </w:pPr>
    <w:rPr>
      <w:rFonts w:ascii="Cambria" w:hAnsi="Cambria"/>
      <w:b/>
      <w:bCs/>
      <w:kern w:val="32"/>
      <w:szCs w:val="32"/>
    </w:rPr>
  </w:style>
  <w:style w:type="paragraph" w:styleId="9">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10">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link w:val="29"/>
    <w:qFormat/>
    <w:uiPriority w:val="0"/>
    <w:pPr>
      <w:spacing w:after="120"/>
      <w:ind w:left="420" w:leftChars="200" w:firstLine="420"/>
    </w:pPr>
  </w:style>
  <w:style w:type="paragraph" w:styleId="3">
    <w:name w:val="Body Text Indent"/>
    <w:basedOn w:val="1"/>
    <w:next w:val="4"/>
    <w:link w:val="27"/>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paragraph" w:styleId="11">
    <w:name w:val="Normal Indent"/>
    <w:basedOn w:val="1"/>
    <w:qFormat/>
    <w:uiPriority w:val="0"/>
    <w:pPr>
      <w:widowControl/>
      <w:ind w:firstLine="420"/>
      <w:jc w:val="left"/>
    </w:pPr>
    <w:rPr>
      <w:kern w:val="0"/>
      <w:sz w:val="20"/>
      <w:szCs w:val="20"/>
    </w:rPr>
  </w:style>
  <w:style w:type="paragraph" w:styleId="12">
    <w:name w:val="Body Text"/>
    <w:basedOn w:val="1"/>
    <w:next w:val="4"/>
    <w:qFormat/>
    <w:uiPriority w:val="0"/>
    <w:pPr>
      <w:spacing w:after="120"/>
    </w:pPr>
  </w:style>
  <w:style w:type="paragraph" w:styleId="13">
    <w:name w:val="Plain Text"/>
    <w:basedOn w:val="1"/>
    <w:qFormat/>
    <w:uiPriority w:val="0"/>
    <w:rPr>
      <w:rFonts w:ascii="宋体" w:hAnsi="Courier New"/>
      <w:szCs w:val="20"/>
    </w:rPr>
  </w:style>
  <w:style w:type="paragraph" w:styleId="14">
    <w:name w:val="Balloon Text"/>
    <w:basedOn w:val="1"/>
    <w:qFormat/>
    <w:uiPriority w:val="0"/>
    <w:rPr>
      <w:sz w:val="18"/>
      <w:szCs w:val="18"/>
    </w:rPr>
  </w:style>
  <w:style w:type="paragraph" w:styleId="15">
    <w:name w:val="footer"/>
    <w:basedOn w:val="1"/>
    <w:link w:val="28"/>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3"/>
    <w:qFormat/>
    <w:uiPriority w:val="0"/>
    <w:rPr>
      <w:rFonts w:ascii="仿宋_GB2312" w:eastAsia="仿宋_GB2312"/>
      <w:kern w:val="2"/>
      <w:sz w:val="32"/>
      <w:szCs w:val="24"/>
    </w:rPr>
  </w:style>
  <w:style w:type="character" w:customStyle="1" w:styleId="28">
    <w:name w:val="页脚 Char"/>
    <w:link w:val="15"/>
    <w:qFormat/>
    <w:uiPriority w:val="99"/>
    <w:rPr>
      <w:rFonts w:ascii="仿宋_GB2312" w:hAnsi="Calibri" w:eastAsia="仿宋_GB2312"/>
      <w:kern w:val="2"/>
      <w:sz w:val="18"/>
      <w:szCs w:val="18"/>
      <w:lang w:val="en-US" w:eastAsia="zh-CN" w:bidi="ar-SA"/>
    </w:rPr>
  </w:style>
  <w:style w:type="character" w:customStyle="1" w:styleId="29">
    <w:name w:val="正文首行缩进 2 Char"/>
    <w:link w:val="2"/>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28"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26</Pages>
  <Words>9756</Words>
  <Characters>10838</Characters>
  <Lines>129</Lines>
  <Paragraphs>36</Paragraphs>
  <TotalTime>9</TotalTime>
  <ScaleCrop>false</ScaleCrop>
  <LinksUpToDate>false</LinksUpToDate>
  <CharactersWithSpaces>12509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123456</cp:lastModifiedBy>
  <cp:lastPrinted>2022-06-30T02:16:00Z</cp:lastPrinted>
  <dcterms:modified xsi:type="dcterms:W3CDTF">2024-07-02T04:29:28Z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3C411D8608C844FD8D37B37AEE708FA6_13</vt:lpwstr>
  </property>
</Properties>
</file>