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highlight w:val="none"/>
        </w:rPr>
      </w:pPr>
    </w:p>
    <w:p>
      <w:pPr>
        <w:overflowPunct w:val="0"/>
        <w:spacing w:line="360" w:lineRule="auto"/>
        <w:jc w:val="center"/>
        <w:rPr>
          <w:rFonts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浏阳市秋收起义纪念馆红色旅游配套用房改造项目电器采购（第二次）</w:t>
      </w: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ascii="宋体" w:hAnsi="宋体" w:eastAsia="宋体" w:cs="宋体"/>
          <w:b/>
          <w:color w:val="auto"/>
          <w:sz w:val="28"/>
          <w:szCs w:val="28"/>
          <w:highlight w:val="none"/>
        </w:rPr>
      </w:pPr>
    </w:p>
    <w:p>
      <w:pPr>
        <w:overflowPunct w:val="0"/>
        <w:jc w:val="center"/>
        <w:rPr>
          <w:rFonts w:ascii="宋体" w:hAnsi="宋体" w:eastAsia="宋体" w:cs="宋体"/>
          <w:color w:val="auto"/>
          <w:sz w:val="44"/>
          <w:szCs w:val="44"/>
          <w:highlight w:val="none"/>
        </w:rPr>
      </w:pPr>
    </w:p>
    <w:p>
      <w:pPr>
        <w:overflowPunct w:val="0"/>
        <w:jc w:val="center"/>
        <w:rPr>
          <w:rFonts w:ascii="宋体" w:hAnsi="宋体" w:eastAsia="宋体" w:cs="宋体"/>
          <w:color w:val="auto"/>
          <w:sz w:val="44"/>
          <w:szCs w:val="44"/>
          <w:highlight w:val="none"/>
        </w:rPr>
      </w:pPr>
    </w:p>
    <w:p>
      <w:pPr>
        <w:overflowPunct w:val="0"/>
        <w:rPr>
          <w:rFonts w:ascii="宋体" w:hAnsi="宋体" w:eastAsia="宋体" w:cs="宋体"/>
          <w:color w:val="auto"/>
          <w:sz w:val="32"/>
          <w:highlight w:val="none"/>
        </w:rPr>
      </w:pPr>
    </w:p>
    <w:p>
      <w:pPr>
        <w:overflowPunct w:val="0"/>
        <w:ind w:firstLine="420"/>
        <w:rPr>
          <w:rFonts w:ascii="宋体" w:hAnsi="宋体" w:eastAsia="宋体" w:cs="宋体"/>
          <w:color w:val="auto"/>
          <w:sz w:val="32"/>
          <w:highlight w:val="none"/>
        </w:rPr>
      </w:pPr>
    </w:p>
    <w:p>
      <w:pPr>
        <w:overflowPunct w:val="0"/>
        <w:rPr>
          <w:rFonts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招标人：</w:t>
      </w:r>
      <w:r>
        <w:rPr>
          <w:rFonts w:hint="eastAsia" w:ascii="宋体" w:hAnsi="宋体" w:eastAsia="宋体" w:cs="宋体"/>
          <w:color w:val="auto"/>
          <w:sz w:val="28"/>
          <w:szCs w:val="28"/>
          <w:highlight w:val="none"/>
          <w:lang w:eastAsia="zh-CN"/>
        </w:rPr>
        <w:t>浏阳市文化旅游产业发展有限责任公司</w:t>
      </w:r>
    </w:p>
    <w:p>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代理机构：</w:t>
      </w:r>
      <w:r>
        <w:rPr>
          <w:rFonts w:hint="eastAsia" w:ascii="宋体" w:hAnsi="宋体" w:eastAsia="宋体" w:cs="宋体"/>
          <w:color w:val="auto"/>
          <w:sz w:val="28"/>
          <w:szCs w:val="28"/>
          <w:highlight w:val="none"/>
          <w:lang w:eastAsia="zh-CN"/>
        </w:rPr>
        <w:t>长沙东睿工程咨询有限公司</w:t>
      </w:r>
    </w:p>
    <w:p>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二○二六年</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浏阳市秋收起义纪念馆红色旅游配套用房改造项目电器采购（第二次）招标公告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浏阳市秋收起义纪念馆红色旅游配套用房改造项目电器采购（第二次）</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0" w:name="OLE_LINK1"/>
      <w:bookmarkStart w:id="1" w:name="OLE_LINK2"/>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bookmarkEnd w:id="0"/>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367900.00元（总价和单价均不得超采购清单价，否则作否决投标处理）。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Times New Roman"/>
          <w:b w:val="0"/>
          <w:bCs w:val="0"/>
          <w:color w:val="auto"/>
          <w:kern w:val="2"/>
          <w:sz w:val="24"/>
          <w:szCs w:val="24"/>
          <w:highlight w:val="none"/>
          <w:lang w:val="en-US" w:eastAsia="zh-CN" w:bidi="ar-SA"/>
        </w:rPr>
        <w:t>采购空调、洗衣机、电视机，详见采购清单</w:t>
      </w:r>
      <w:r>
        <w:rPr>
          <w:rFonts w:hint="eastAsia" w:ascii="宋体" w:hAnsi="宋体" w:eastAsia="宋体" w:cs="宋体"/>
          <w:b w:val="0"/>
          <w:bCs w:val="0"/>
          <w:color w:val="auto"/>
          <w:kern w:val="2"/>
          <w:sz w:val="24"/>
          <w:szCs w:val="24"/>
          <w:highlight w:val="none"/>
          <w:lang w:val="en-US" w:eastAsia="zh-CN" w:bidi="ar-SA"/>
        </w:rPr>
        <w:t>。</w:t>
      </w:r>
    </w:p>
    <w:bookmarkEnd w:id="1"/>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10月至2025年12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2026年1月16日15:30（北京时间）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2026年1月16日15:30</w:t>
      </w:r>
      <w:r>
        <w:rPr>
          <w:rFonts w:hint="eastAsia" w:ascii="宋体" w:hAnsi="宋体" w:eastAsia="宋体" w:cs="宋体"/>
          <w:color w:val="auto"/>
          <w:sz w:val="24"/>
          <w:szCs w:val="24"/>
          <w:highlight w:val="none"/>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2026年1月13日17:00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3.8、</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3.9、</w:t>
      </w:r>
      <w:bookmarkStart w:id="2" w:name="OLE_LINK7"/>
      <w:r>
        <w:rPr>
          <w:rFonts w:hint="eastAsia" w:ascii="宋体" w:hAnsi="宋体" w:eastAsia="宋体" w:cs="宋体"/>
          <w:b/>
          <w:bCs/>
          <w:color w:val="auto"/>
          <w:kern w:val="2"/>
          <w:sz w:val="24"/>
          <w:szCs w:val="24"/>
          <w:highlight w:val="none"/>
          <w:lang w:val="en-US" w:eastAsia="zh-CN" w:bidi="ar-SA"/>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bookmarkEnd w:id="2"/>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3" w:name="_Toc3730"/>
      <w:bookmarkStart w:id="4" w:name="OLE_LINK6"/>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3"/>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Times New Roman"/>
          <w:b/>
          <w:bCs/>
          <w:color w:val="auto"/>
          <w:kern w:val="2"/>
          <w:sz w:val="24"/>
          <w:szCs w:val="24"/>
          <w:highlight w:val="none"/>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r>
        <w:rPr>
          <w:rFonts w:ascii="宋体" w:hAnsi="宋体" w:eastAsia="宋体" w:cs="Times New Roman"/>
          <w:b/>
          <w:bCs/>
          <w:color w:val="auto"/>
          <w:sz w:val="24"/>
          <w:szCs w:val="24"/>
          <w:highlight w:val="none"/>
        </w:rPr>
        <w:t>、</w:t>
      </w:r>
      <w:bookmarkEnd w:id="4"/>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宋体"/>
          <w:color w:val="auto"/>
          <w:sz w:val="24"/>
          <w:highlight w:val="none"/>
          <w:lang w:val="en-US" w:eastAsia="zh-CN"/>
        </w:rPr>
        <w:t>15200883808</w:t>
      </w:r>
      <w:r>
        <w:rPr>
          <w:rFonts w:hint="eastAsia" w:ascii="宋体" w:hAnsi="宋体" w:cs="宋体"/>
          <w:color w:val="auto"/>
          <w:sz w:val="24"/>
          <w:highlight w:val="none"/>
        </w:rPr>
        <w:t xml:space="preserve">  19974822466</w:t>
      </w:r>
    </w:p>
    <w:p>
      <w:pPr>
        <w:keepNext w:val="0"/>
        <w:keepLines w:val="0"/>
        <w:pageBreakBefore w:val="0"/>
        <w:kinsoku/>
        <w:wordWrap w:val="0"/>
        <w:overflowPunct/>
        <w:topLinePunct w:val="0"/>
        <w:autoSpaceDE/>
        <w:autoSpaceDN/>
        <w:bidi w:val="0"/>
        <w:snapToGrid/>
        <w:spacing w:line="520" w:lineRule="exact"/>
        <w:ind w:right="-34"/>
        <w:jc w:val="right"/>
        <w:rPr>
          <w:rFonts w:hint="eastAsia" w:ascii="宋体" w:hAnsi="宋体" w:eastAsia="宋体" w:cs="Times New Roman"/>
          <w:color w:val="auto"/>
          <w:sz w:val="24"/>
          <w:szCs w:val="24"/>
          <w:highlight w:val="none"/>
          <w:lang w:eastAsia="zh-CN"/>
        </w:rPr>
      </w:pP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12</w:t>
      </w:r>
      <w:r>
        <w:rPr>
          <w:rFonts w:hint="eastAsia" w:ascii="宋体" w:hAnsi="宋体" w:eastAsia="宋体" w:cs="Times New Roman"/>
          <w:color w:val="auto"/>
          <w:sz w:val="24"/>
          <w:szCs w:val="24"/>
          <w:highlight w:val="none"/>
        </w:rPr>
        <w:t>日</w:t>
      </w:r>
    </w:p>
    <w:p>
      <w:pPr>
        <w:rPr>
          <w:color w:val="auto"/>
          <w:highlight w:val="none"/>
        </w:rPr>
      </w:pPr>
    </w:p>
    <w:p>
      <w:pPr>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pPr>
        <w:widowControl/>
        <w:shd w:val="clear" w:color="auto" w:fill="FFFFFF"/>
        <w:spacing w:before="100" w:beforeAutospacing="1" w:after="100" w:afterAutospacing="1" w:line="360" w:lineRule="auto"/>
        <w:jc w:val="center"/>
        <w:rPr>
          <w:rFonts w:ascii="方正小标宋简体" w:hAnsi="宋体" w:eastAsia="方正小标宋简体" w:cs="宋体"/>
          <w:bCs/>
          <w:color w:val="auto"/>
          <w:kern w:val="0"/>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t>浏阳市秋收起义纪念馆红色旅游配套用房改造项目电器采购（第二次）招标文件</w:t>
      </w:r>
    </w:p>
    <w:p>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highlight w:val="none"/>
          <w:lang w:val="en-US" w:eastAsia="zh-CN" w:bidi="ar-SA"/>
        </w:rPr>
        <w:t>浏阳市秋收起义纪念馆红色旅游配套用房改造项目电器采购（第二次）</w:t>
      </w:r>
      <w:r>
        <w:rPr>
          <w:rFonts w:hint="eastAsia" w:ascii="宋体" w:hAnsi="宋体" w:eastAsia="宋体" w:cs="宋体"/>
          <w:color w:val="auto"/>
          <w:kern w:val="0"/>
          <w:sz w:val="24"/>
          <w:szCs w:val="24"/>
          <w:highlight w:val="none"/>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Times New Roman"/>
          <w:b w:val="0"/>
          <w:bCs w:val="0"/>
          <w:color w:val="auto"/>
          <w:kern w:val="2"/>
          <w:sz w:val="24"/>
          <w:szCs w:val="24"/>
          <w:highlight w:val="none"/>
          <w:lang w:val="en-US" w:eastAsia="zh-CN" w:bidi="ar-SA"/>
        </w:rPr>
        <w:t>空调、洗衣机、电视机，详见采购清单</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文家市镇秋收起义公租房</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收到成交通知书后20日历天内完成供货、安装、调试，达到交付使用标准。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整体质保期为正式</w:t>
      </w:r>
      <w:r>
        <w:rPr>
          <w:rFonts w:hint="eastAsia" w:ascii="宋体" w:hAnsi="宋体" w:eastAsia="宋体" w:cs="宋体"/>
          <w:b w:val="0"/>
          <w:bCs w:val="0"/>
          <w:color w:val="auto"/>
          <w:sz w:val="24"/>
          <w:szCs w:val="24"/>
          <w:highlight w:val="none"/>
          <w:rtl w:val="0"/>
          <w:lang w:val="zh-CN" w:eastAsia="zh-CN"/>
        </w:rPr>
        <w:t>验收合格之日起</w:t>
      </w:r>
      <w:r>
        <w:rPr>
          <w:rFonts w:hint="eastAsia" w:ascii="宋体" w:hAnsi="宋体" w:eastAsia="宋体" w:cs="宋体"/>
          <w:b w:val="0"/>
          <w:bCs w:val="0"/>
          <w:color w:val="auto"/>
          <w:sz w:val="24"/>
          <w:szCs w:val="24"/>
          <w:highlight w:val="none"/>
          <w:rtl w:val="0"/>
          <w:lang w:val="en-US" w:eastAsia="zh-CN"/>
        </w:rPr>
        <w:t>12个月</w:t>
      </w:r>
      <w:r>
        <w:rPr>
          <w:rFonts w:hint="eastAsia" w:ascii="宋体" w:hAnsi="宋体" w:eastAsia="宋体" w:cs="宋体"/>
          <w:b w:val="0"/>
          <w:bCs w:val="0"/>
          <w:color w:val="auto"/>
          <w:sz w:val="24"/>
          <w:szCs w:val="24"/>
          <w:highlight w:val="none"/>
          <w:rtl w:val="0"/>
          <w:lang w:val="zh-CN" w:eastAsia="zh-CN"/>
        </w:rPr>
        <w:t>。部分设备的质保期与服务厂商承诺的质保期或国家、行业相关强制标准不一致的，以较长期限为准。</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10月至2025年12月）依法缴纳税收的证明（纳税凭证复印件），或者委托他人缴纳的委托代办协议和近三个月内任意一个月（2025年10月至2025年12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：367900.00元（总价和单价均不得超采购清单价，否则作否决投标处理）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交货地点及付款方式</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5" w:name="_Toc359570304"/>
      <w:bookmarkStart w:id="6" w:name="_Toc401742306"/>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9.3、本项目需开具全额增值税专用发票。</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w:t>
      </w:r>
      <w:bookmarkStart w:id="13" w:name="_GoBack"/>
      <w:bookmarkEnd w:id="13"/>
      <w:r>
        <w:rPr>
          <w:rFonts w:hint="eastAsia" w:ascii="宋体" w:hAnsi="宋体" w:eastAsia="宋体" w:cs="宋体"/>
          <w:color w:val="auto"/>
          <w:sz w:val="24"/>
          <w:szCs w:val="24"/>
          <w:highlight w:val="none"/>
        </w:rPr>
        <w:t>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5"/>
    <w:bookmarkEnd w:id="6"/>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20</w:t>
      </w:r>
      <w:r>
        <w:rPr>
          <w:rFonts w:hint="eastAsia" w:ascii="宋体" w:hAnsi="宋体" w:eastAsia="宋体" w:cs="宋体"/>
          <w:color w:val="auto"/>
          <w:sz w:val="24"/>
          <w:szCs w:val="24"/>
          <w:highlight w:val="none"/>
          <w:u w:val="singl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16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429827520"/>
      <w:bookmarkStart w:id="8" w:name="_Toc30067799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cs="宋体"/>
          <w:iCs/>
          <w:color w:val="auto"/>
          <w:sz w:val="24"/>
          <w:highlight w:val="none"/>
          <w:lang w:eastAsia="zh-CN"/>
        </w:rPr>
        <w:t>浏阳市圣大云天3栋703</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Times New Roman"/>
          <w:color w:val="auto"/>
          <w:sz w:val="24"/>
          <w:szCs w:val="24"/>
          <w:highlight w:val="none"/>
          <w:lang w:val="en-US" w:eastAsia="zh-CN"/>
        </w:rPr>
        <w:t>19974822466</w:t>
      </w:r>
      <w:r>
        <w:rPr>
          <w:rFonts w:hint="eastAsia" w:ascii="宋体" w:hAnsi="宋体" w:eastAsia="宋体" w:cs="Times New Roman"/>
          <w:color w:val="auto"/>
          <w:sz w:val="24"/>
          <w:szCs w:val="24"/>
          <w:highlight w:val="none"/>
        </w:rPr>
        <w:t xml:space="preserve">  19974822466</w:t>
      </w:r>
    </w:p>
    <w:p>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bookmarkStart w:id="9" w:name="OLE_LINK3"/>
      <w:r>
        <w:rPr>
          <w:rFonts w:hint="eastAsia" w:ascii="宋体" w:hAnsi="宋体" w:eastAsia="宋体" w:cs="宋体"/>
          <w:b/>
          <w:bCs/>
          <w:color w:val="auto"/>
          <w:sz w:val="32"/>
          <w:highlight w:val="none"/>
          <w:lang w:val="en-US" w:eastAsia="zh-CN"/>
        </w:rPr>
        <w:t>浏阳市秋收起义纪念馆红色旅游配套用房改造项目电器采购（第二次）</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计量</w:t>
            </w:r>
            <w:r>
              <w:rPr>
                <w:rFonts w:hint="eastAsia" w:ascii="宋体" w:hAnsi="宋体" w:eastAsia="宋体" w:cs="宋体"/>
                <w:b/>
                <w:bCs/>
                <w:i w:val="0"/>
                <w:iCs w:val="0"/>
                <w:color w:val="auto"/>
                <w:kern w:val="0"/>
                <w:sz w:val="18"/>
                <w:szCs w:val="18"/>
                <w:highlight w:val="none"/>
                <w:u w:val="none"/>
                <w:lang w:val="en-US" w:eastAsia="zh-CN" w:bidi="ar"/>
              </w:rPr>
              <w:br w:type="textWrapping"/>
            </w:r>
            <w:r>
              <w:rPr>
                <w:rFonts w:hint="eastAsia" w:ascii="宋体" w:hAnsi="宋体" w:eastAsia="宋体" w:cs="宋体"/>
                <w:b/>
                <w:bCs/>
                <w:i w:val="0"/>
                <w:iCs w:val="0"/>
                <w:color w:val="auto"/>
                <w:kern w:val="0"/>
                <w:sz w:val="18"/>
                <w:szCs w:val="18"/>
                <w:highlight w:val="none"/>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highlight w:val="none"/>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highlight w:val="none"/>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highlight w:val="none"/>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highlight w:val="none"/>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auto"/>
                <w:sz w:val="18"/>
                <w:szCs w:val="18"/>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1.挂式空调1.5匹变频；</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2.能耗级别：一级能耗，GB 21455-2019； </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3.额定制冷量：不低于3500W；        4.额定制热量：不低于4600W；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5.额定制冷功率：不高于990W；       6.额定制热功率：不高于1300W；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7.循环风量：不低于640m3 /h；       8.电源规格：220v；</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9.品牌要求（不包含旗下子品牌）：格力、美的、 大金（合资）、三菱（合资）；（未响应此品牌，作否决投标处理）</w:t>
            </w:r>
          </w:p>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22"/>
                <w:szCs w:val="22"/>
                <w:highlight w:val="none"/>
                <w:u w:val="none"/>
                <w:lang w:val="en-US" w:eastAsia="zh-CN" w:bidi="ar"/>
              </w:rPr>
              <w:t>10.原配连接管道须采用全铜管；    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default" w:ascii="宋体" w:hAnsi="宋体" w:eastAsia="宋体" w:cs="宋体"/>
                <w:i w:val="0"/>
                <w:iCs w:val="0"/>
                <w:color w:val="auto"/>
                <w:sz w:val="18"/>
                <w:szCs w:val="18"/>
                <w:highlight w:val="none"/>
                <w:u w:val="none"/>
                <w:lang w:val="en-US" w:eastAsia="zh-CN"/>
              </w:rPr>
              <w:t>74</w:t>
            </w:r>
            <w:r>
              <w:rPr>
                <w:rFonts w:hint="eastAsia" w:ascii="宋体" w:hAnsi="宋体" w:eastAsia="宋体" w:cs="宋体"/>
                <w:i w:val="0"/>
                <w:iCs w:val="0"/>
                <w:color w:val="auto"/>
                <w:sz w:val="18"/>
                <w:szCs w:val="18"/>
                <w:highlight w:val="none"/>
                <w:u w:val="none"/>
                <w:lang w:val="en-US" w:eastAsia="zh-CN"/>
              </w:rPr>
              <w:t>.00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rPr>
            </w:pPr>
            <w:r>
              <w:rPr>
                <w:rFonts w:hint="default" w:ascii="宋体" w:hAnsi="宋体" w:eastAsia="宋体" w:cs="宋体"/>
                <w:i w:val="0"/>
                <w:iCs w:val="0"/>
                <w:color w:val="auto"/>
                <w:sz w:val="18"/>
                <w:szCs w:val="18"/>
                <w:highlight w:val="none"/>
                <w:u w:val="none"/>
                <w:lang w:val="en-US" w:eastAsia="zh-CN"/>
              </w:rPr>
              <w:t>2650</w:t>
            </w:r>
            <w:r>
              <w:rPr>
                <w:rFonts w:hint="eastAsia" w:ascii="宋体" w:hAnsi="宋体" w:eastAsia="宋体" w:cs="宋体"/>
                <w:i w:val="0"/>
                <w:iCs w:val="0"/>
                <w:color w:val="auto"/>
                <w:sz w:val="18"/>
                <w:szCs w:val="18"/>
                <w:highlight w:val="none"/>
                <w:u w:val="none"/>
                <w:lang w:val="en-US" w:eastAsia="zh-CN"/>
              </w:rPr>
              <w:t>.00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196100.00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1.洗烘一体全自动洗衣机；</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2.洗烘一体，洗衣容量12kg，烘干容量9kg；</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3.一级能耗 GB 21455-2019；</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4.1:10洗净比，可水洗羊毛，智能投放洗衣液，能洗能烘羽绒服，纳米银子除菌，健康除螨洗，变频电机。</w:t>
            </w:r>
          </w:p>
          <w:p>
            <w:pPr>
              <w:keepNext w:val="0"/>
              <w:keepLines w:val="0"/>
              <w:widowControl/>
              <w:suppressLineNumbers w:val="0"/>
              <w:jc w:val="left"/>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5.品牌要求（不包含旗下子品牌）：小天鹅、美的、海尔；（未响应此品牌，作否决投标处理）</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6.噪声：&lt;75db；</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7.电源：220V；</w:t>
            </w:r>
          </w:p>
          <w:p>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3.00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sz w:val="18"/>
                <w:szCs w:val="18"/>
                <w:highlight w:val="none"/>
                <w:u w:val="none"/>
                <w:lang w:val="en-US" w:eastAsia="zh-CN"/>
              </w:rPr>
              <w:t>3000.00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电视机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1.挂式电视机65英寸；</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2.能耗级别：不低于二级能耗，GB 21455-2019；</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3.运行内存2GB,存储内存64GB；</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4.分辨率超高清4K，音响功率不小于20W；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5.品牌要求（不包含旗下子品牌）：海信、创维、TCL；（未响应此品牌，作否决投标处理）</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6.具备智能语音、无线网络连接功能；7.包含税金、运输、安装调试、维护等一切配套费用。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74.00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2200.00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162800.00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highlight w:val="none"/>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2"/>
                <w:sz w:val="22"/>
                <w:szCs w:val="22"/>
                <w:highlight w:val="none"/>
                <w:u w:val="none"/>
                <w:lang w:val="en-US" w:eastAsia="zh-CN" w:bidi="ar-SA"/>
              </w:rPr>
              <w:t>367900.00</w:t>
            </w:r>
          </w:p>
        </w:tc>
      </w:tr>
      <w:bookmarkEnd w:id="9"/>
    </w:tbl>
    <w:p>
      <w:pPr>
        <w:spacing w:line="400" w:lineRule="exact"/>
        <w:rPr>
          <w:rFonts w:ascii="宋体" w:hAnsi="宋体" w:eastAsia="宋体" w:cs="Times New Roman"/>
          <w:bCs/>
          <w:color w:val="auto"/>
          <w:sz w:val="24"/>
          <w:highlight w:val="none"/>
        </w:rPr>
      </w:pPr>
      <w:r>
        <w:rPr>
          <w:rFonts w:ascii="黑体" w:hAnsi="Times New Roman" w:eastAsia="黑体" w:cs="黑体"/>
          <w:b/>
          <w:bCs/>
          <w:color w:val="auto"/>
          <w:sz w:val="32"/>
          <w:szCs w:val="32"/>
          <w:highlight w:val="none"/>
        </w:rPr>
        <w:br w:type="page"/>
      </w:r>
      <w:bookmarkEnd w:id="7"/>
      <w:bookmarkEnd w:id="8"/>
    </w:p>
    <w:p>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highlight w:val="none"/>
        </w:rPr>
      </w:pPr>
    </w:p>
    <w:p>
      <w:pPr>
        <w:overflowPunct w:val="0"/>
        <w:spacing w:beforeLines="100"/>
        <w:jc w:val="center"/>
        <w:rPr>
          <w:rFonts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浏阳市秋收起义纪念馆红色旅游配套用房改造项目电器采购（第二次）</w:t>
      </w:r>
    </w:p>
    <w:p>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overflowPunct w:val="0"/>
        <w:jc w:val="left"/>
        <w:rPr>
          <w:rFonts w:ascii="黑体" w:hAnsi="Times New Roman" w:eastAsia="黑体" w:cs="Times New Roman"/>
          <w:color w:val="auto"/>
          <w:sz w:val="24"/>
          <w:szCs w:val="28"/>
          <w:highlight w:val="none"/>
        </w:rPr>
      </w:pPr>
    </w:p>
    <w:p>
      <w:pPr>
        <w:overflowPunct w:val="0"/>
        <w:jc w:val="left"/>
        <w:rPr>
          <w:rFonts w:ascii="黑体" w:hAnsi="Times New Roman" w:eastAsia="黑体" w:cs="Times New Roman"/>
          <w:color w:val="auto"/>
          <w:sz w:val="24"/>
          <w:szCs w:val="28"/>
          <w:highlight w:val="none"/>
        </w:rPr>
      </w:pPr>
    </w:p>
    <w:p>
      <w:pPr>
        <w:overflowPunct w:val="0"/>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pPr>
        <w:overflowPunct w:val="0"/>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pPr>
        <w:overflowPunct w:val="0"/>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pPr>
        <w:spacing w:line="420" w:lineRule="exact"/>
        <w:jc w:val="center"/>
        <w:rPr>
          <w:rFonts w:ascii="仿宋" w:hAnsi="仿宋" w:eastAsia="仿宋" w:cs="仿宋"/>
          <w:color w:val="auto"/>
          <w:sz w:val="24"/>
          <w:highlight w:val="none"/>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spacing w:line="420" w:lineRule="exact"/>
        <w:ind w:firstLine="480"/>
        <w:rPr>
          <w:rFonts w:ascii="宋体" w:hAnsi="宋体" w:eastAsia="宋体" w:cs="Times New Roman"/>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pPr>
        <w:numPr>
          <w:ilvl w:val="0"/>
          <w:numId w:val="4"/>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docGrid w:type="lines" w:linePitch="315"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pPr>
              <w:spacing w:line="700" w:lineRule="exact"/>
              <w:jc w:val="center"/>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浏阳市秋收起义纪念馆红色旅游配套用房改造项目电器采购（第二次）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pPr>
              <w:spacing w:line="40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lang w:val="en-US" w:eastAsia="zh-CN"/>
              </w:rPr>
              <w:t>交货与安装工期</w:t>
            </w:r>
            <w:r>
              <w:rPr>
                <w:rFonts w:hint="eastAsia" w:ascii="宋体" w:hAnsi="宋体" w:eastAsia="宋体" w:cs="Times New Roman"/>
                <w:color w:val="auto"/>
                <w:sz w:val="24"/>
                <w:szCs w:val="24"/>
                <w:highlight w:val="none"/>
              </w:rPr>
              <w:t>承诺</w:t>
            </w:r>
          </w:p>
        </w:tc>
        <w:tc>
          <w:tcPr>
            <w:tcW w:w="7348"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收到成交通知书后20日历天内完成供货、安装、调试，达到交付使用标准。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质量要求承诺</w:t>
            </w:r>
          </w:p>
        </w:tc>
        <w:tc>
          <w:tcPr>
            <w:tcW w:w="7348"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lang w:val="sq-AL" w:eastAsia="zh-CN"/>
              </w:rPr>
              <w:t>整体质保期为正式</w:t>
            </w:r>
            <w:r>
              <w:rPr>
                <w:rFonts w:hint="eastAsia" w:ascii="宋体" w:hAnsi="宋体" w:eastAsia="宋体" w:cs="宋体"/>
                <w:color w:val="auto"/>
                <w:sz w:val="24"/>
                <w:szCs w:val="24"/>
                <w:highlight w:val="none"/>
                <w:rtl w:val="0"/>
                <w:lang w:val="sq-AL" w:eastAsia="zh-CN"/>
              </w:rPr>
              <w:t>验收合格之日起12个月。部分设备的质保期与服务厂商承诺的质保期或国家、行业相关强制标准不一致的，以较长期限为准。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pPr>
        <w:spacing w:line="400" w:lineRule="exact"/>
        <w:jc w:val="center"/>
        <w:rPr>
          <w:rFonts w:hint="eastAsia" w:ascii="宋体" w:hAnsi="宋体" w:eastAsia="宋体" w:cs="宋体"/>
          <w:color w:val="auto"/>
          <w:sz w:val="24"/>
          <w:szCs w:val="24"/>
          <w:highlight w:val="none"/>
          <w:lang w:val="sq-AL" w:eastAsia="zh-CN"/>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pPr>
        <w:spacing w:line="400" w:lineRule="exact"/>
        <w:jc w:val="center"/>
        <w:rPr>
          <w:rFonts w:hint="eastAsia" w:ascii="宋体" w:hAnsi="宋体" w:eastAsia="宋体" w:cs="宋体"/>
          <w:color w:val="auto"/>
          <w:sz w:val="24"/>
          <w:szCs w:val="24"/>
          <w:highlight w:val="none"/>
          <w:lang w:val="sq-AL"/>
        </w:rPr>
      </w:pPr>
    </w:p>
    <w:p>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both"/>
        <w:rPr>
          <w:rFonts w:hint="eastAsia" w:ascii="宋体" w:hAnsi="宋体" w:eastAsia="宋体" w:cs="宋体"/>
          <w:b/>
          <w:color w:val="auto"/>
          <w:sz w:val="32"/>
          <w:szCs w:val="32"/>
          <w:highlight w:val="none"/>
        </w:rPr>
      </w:pPr>
    </w:p>
    <w:p>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pPr>
        <w:adjustRightInd w:val="0"/>
        <w:snapToGrid w:val="0"/>
        <w:spacing w:line="360" w:lineRule="auto"/>
        <w:jc w:val="cente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pPr>
        <w:adjustRightInd w:val="0"/>
        <w:snapToGrid w:val="0"/>
        <w:ind w:left="-88" w:leftChars="-42" w:firstLine="281" w:firstLineChars="100"/>
        <w:jc w:val="center"/>
        <w:rPr>
          <w:rFonts w:ascii="宋体" w:hAnsi="宋体" w:eastAsia="宋体" w:cs="Times New Roman"/>
          <w:b/>
          <w:bCs/>
          <w:color w:val="auto"/>
          <w:sz w:val="28"/>
          <w:szCs w:val="28"/>
          <w:highlight w:val="none"/>
        </w:rPr>
      </w:pPr>
    </w:p>
    <w:p>
      <w:pPr>
        <w:adjustRightInd w:val="0"/>
        <w:snapToGrid w:val="0"/>
        <w:ind w:left="-88" w:leftChars="-42" w:firstLine="210" w:firstLineChars="100"/>
        <w:rPr>
          <w:rFonts w:ascii="宋体" w:hAnsi="宋体" w:eastAsia="宋体" w:cs="Times New Roman"/>
          <w:bCs/>
          <w:color w:val="auto"/>
          <w:sz w:val="21"/>
          <w:szCs w:val="21"/>
          <w:highlight w:val="none"/>
        </w:rPr>
      </w:pPr>
    </w:p>
    <w:p>
      <w:pPr>
        <w:adjustRightInd w:val="0"/>
        <w:snapToGrid w:val="0"/>
        <w:ind w:left="-88" w:leftChars="-42" w:firstLine="210" w:firstLineChars="100"/>
        <w:rPr>
          <w:rFonts w:ascii="宋体" w:hAnsi="宋体" w:eastAsia="宋体" w:cs="Times New Roman"/>
          <w:color w:val="auto"/>
          <w:sz w:val="21"/>
          <w:szCs w:val="21"/>
          <w:highlight w:val="none"/>
        </w:rPr>
      </w:pPr>
    </w:p>
    <w:p>
      <w:pPr>
        <w:adjustRightInd w:val="0"/>
        <w:snapToGrid w:val="0"/>
        <w:ind w:left="-88" w:leftChars="-42"/>
        <w:outlineLvl w:val="0"/>
        <w:rPr>
          <w:rFonts w:hint="eastAsia" w:ascii="宋体" w:hAnsi="宋体" w:eastAsia="宋体" w:cs="宋体"/>
          <w:bCs/>
          <w:color w:val="auto"/>
          <w:sz w:val="24"/>
          <w:szCs w:val="24"/>
          <w:highlight w:val="none"/>
        </w:rPr>
      </w:pPr>
    </w:p>
    <w:p>
      <w:pPr>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spacing w:line="380" w:lineRule="exact"/>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bl>
    <w:p>
      <w:pPr>
        <w:rPr>
          <w:rFonts w:hint="eastAsia" w:ascii="Times New Roman" w:hAnsi="Times New Roman" w:eastAsia="宋体" w:cs="Times New Roman"/>
          <w:color w:val="auto"/>
          <w:sz w:val="24"/>
          <w:szCs w:val="24"/>
          <w:highlight w:val="none"/>
        </w:rPr>
      </w:pPr>
    </w:p>
    <w:p>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pPr>
        <w:adjustRightInd w:val="0"/>
        <w:snapToGrid w:val="0"/>
        <w:ind w:left="-88" w:leftChars="-42"/>
        <w:rPr>
          <w:rFonts w:ascii="宋体" w:hAnsi="宋体" w:eastAsia="宋体" w:cs="Times New Roman"/>
          <w:color w:val="auto"/>
          <w:sz w:val="24"/>
          <w:szCs w:val="24"/>
          <w:highlight w:val="none"/>
        </w:rPr>
      </w:pPr>
    </w:p>
    <w:p>
      <w:pPr>
        <w:adjustRightInd w:val="0"/>
        <w:snapToGrid w:val="0"/>
        <w:ind w:left="-88" w:leftChars="-42"/>
        <w:rPr>
          <w:rFonts w:ascii="宋体" w:hAnsi="宋体" w:eastAsia="宋体" w:cs="Times New Roman"/>
          <w:color w:val="auto"/>
          <w:sz w:val="24"/>
          <w:szCs w:val="24"/>
          <w:highlight w:val="none"/>
        </w:rPr>
      </w:pPr>
    </w:p>
    <w:p>
      <w:pPr>
        <w:adjustRightInd w:val="0"/>
        <w:snapToGrid w:val="0"/>
        <w:ind w:left="-88" w:leftChars="-42"/>
        <w:rPr>
          <w:rFonts w:ascii="宋体" w:hAnsi="宋体" w:eastAsia="宋体" w:cs="Times New Roman"/>
          <w:color w:val="auto"/>
          <w:sz w:val="24"/>
          <w:szCs w:val="24"/>
          <w:highlight w:val="none"/>
        </w:rPr>
      </w:pPr>
    </w:p>
    <w:p>
      <w:pPr>
        <w:widowControl w:val="0"/>
        <w:ind w:firstLine="480" w:firstLineChars="200"/>
        <w:jc w:val="both"/>
        <w:rPr>
          <w:rFonts w:ascii="宋体" w:hAnsi="宋体" w:eastAsia="宋体" w:cs="Times New Roman"/>
          <w:color w:val="auto"/>
          <w:kern w:val="2"/>
          <w:sz w:val="24"/>
          <w:szCs w:val="24"/>
          <w:highlight w:val="none"/>
          <w:lang w:val="en-US" w:eastAsia="zh-CN" w:bidi="ar-SA"/>
        </w:rPr>
      </w:pPr>
    </w:p>
    <w:p>
      <w:pPr>
        <w:widowControl w:val="0"/>
        <w:ind w:firstLine="480" w:firstLineChars="200"/>
        <w:jc w:val="both"/>
        <w:rPr>
          <w:rFonts w:ascii="宋体" w:hAnsi="宋体" w:eastAsia="宋体" w:cs="Times New Roman"/>
          <w:color w:val="auto"/>
          <w:kern w:val="2"/>
          <w:sz w:val="24"/>
          <w:szCs w:val="24"/>
          <w:highlight w:val="none"/>
          <w:lang w:val="en-US" w:eastAsia="zh-CN" w:bidi="ar-SA"/>
        </w:rPr>
      </w:pP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hint="eastAsia" w:ascii="宋体" w:hAnsi="宋体" w:eastAsia="宋体" w:cs="宋体"/>
          <w:color w:val="auto"/>
          <w:sz w:val="24"/>
          <w:highlight w:val="none"/>
        </w:rPr>
      </w:pPr>
    </w:p>
    <w:p>
      <w:pPr>
        <w:spacing w:line="400" w:lineRule="exact"/>
        <w:jc w:val="right"/>
        <w:rPr>
          <w:rFonts w:hint="eastAsia" w:ascii="宋体" w:hAnsi="宋体" w:eastAsia="宋体" w:cs="宋体"/>
          <w:color w:val="auto"/>
          <w:sz w:val="24"/>
          <w:highlight w:val="none"/>
        </w:rPr>
      </w:pP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spacing w:line="400" w:lineRule="exact"/>
        <w:ind w:right="600"/>
        <w:rPr>
          <w:rFonts w:hint="eastAsia" w:ascii="宋体" w:hAnsi="宋体" w:eastAsia="宋体" w:cs="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0" w:name="_Toc193115823"/>
      <w:bookmarkStart w:id="11" w:name="_Toc281562938"/>
      <w:bookmarkStart w:id="12" w:name="_Toc235592960"/>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pPr>
        <w:spacing w:line="400" w:lineRule="exact"/>
        <w:rPr>
          <w:rFonts w:hint="eastAsia" w:ascii="宋体" w:hAnsi="宋体" w:eastAsia="宋体" w:cs="宋体"/>
          <w:color w:val="auto"/>
          <w:sz w:val="32"/>
          <w:szCs w:val="21"/>
          <w:highlight w:val="none"/>
        </w:rPr>
      </w:pPr>
    </w:p>
    <w:p>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hint="eastAsia" w:ascii="宋体" w:hAnsi="宋体" w:eastAsia="宋体" w:cs="宋体"/>
          <w:color w:val="auto"/>
          <w:sz w:val="24"/>
          <w:highlight w:val="none"/>
        </w:rPr>
      </w:pPr>
    </w:p>
    <w:p>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hint="eastAsia" w:ascii="宋体" w:hAnsi="宋体" w:eastAsia="宋体" w:cs="Times New Roman"/>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pPr>
        <w:spacing w:line="480" w:lineRule="exact"/>
        <w:rPr>
          <w:rFonts w:hint="eastAsia" w:ascii="黑体" w:hAnsi="Times New Roman" w:eastAsia="黑体" w:cs="Times New Roman"/>
          <w:color w:val="auto"/>
          <w:sz w:val="30"/>
          <w:szCs w:val="30"/>
          <w:highlight w:val="none"/>
        </w:rPr>
      </w:pPr>
    </w:p>
    <w:p>
      <w:pPr>
        <w:spacing w:line="480" w:lineRule="exact"/>
        <w:rPr>
          <w:rFonts w:hint="eastAsia" w:ascii="黑体" w:hAnsi="Times New Roman" w:eastAsia="黑体" w:cs="Times New Roman"/>
          <w:color w:val="auto"/>
          <w:sz w:val="30"/>
          <w:szCs w:val="30"/>
          <w:highlight w:val="none"/>
        </w:rPr>
      </w:pPr>
    </w:p>
    <w:p>
      <w:pPr>
        <w:spacing w:line="480" w:lineRule="exact"/>
        <w:rPr>
          <w:rFonts w:hint="eastAsia" w:ascii="黑体" w:hAnsi="Times New Roman" w:eastAsia="黑体" w:cs="Times New Roman"/>
          <w:color w:val="auto"/>
          <w:sz w:val="30"/>
          <w:szCs w:val="30"/>
          <w:highlight w:val="none"/>
        </w:rPr>
      </w:pPr>
    </w:p>
    <w:p>
      <w:pPr>
        <w:adjustRightInd w:val="0"/>
        <w:snapToGrid w:val="0"/>
        <w:spacing w:line="360" w:lineRule="auto"/>
        <w:outlineLvl w:val="0"/>
        <w:rPr>
          <w:rFonts w:hint="eastAsia" w:ascii="宋体" w:hAnsi="宋体" w:eastAsia="宋体" w:cs="宋体"/>
          <w:b/>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pPr>
        <w:rPr>
          <w:rFonts w:ascii="仿宋_GB2312" w:hAnsi="Times New Roman" w:eastAsia="仿宋_GB2312" w:cs="Times New Roman"/>
          <w:color w:val="auto"/>
          <w:sz w:val="32"/>
          <w:highlight w:val="none"/>
        </w:rPr>
      </w:pPr>
    </w:p>
    <w:p>
      <w:pPr>
        <w:rPr>
          <w:color w:val="auto"/>
          <w:highlight w:val="none"/>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FA45D7"/>
    <w:rsid w:val="02A47ED2"/>
    <w:rsid w:val="042869FE"/>
    <w:rsid w:val="04497181"/>
    <w:rsid w:val="04C31A08"/>
    <w:rsid w:val="05066B4B"/>
    <w:rsid w:val="07E23953"/>
    <w:rsid w:val="085B4F69"/>
    <w:rsid w:val="0B1D4FF6"/>
    <w:rsid w:val="0B974E6D"/>
    <w:rsid w:val="0BCA3CD2"/>
    <w:rsid w:val="0C03751E"/>
    <w:rsid w:val="10313737"/>
    <w:rsid w:val="13D053C0"/>
    <w:rsid w:val="14301281"/>
    <w:rsid w:val="1444190A"/>
    <w:rsid w:val="152D239E"/>
    <w:rsid w:val="167408EA"/>
    <w:rsid w:val="19A05834"/>
    <w:rsid w:val="1A932E3F"/>
    <w:rsid w:val="1AB01AA7"/>
    <w:rsid w:val="1D201E30"/>
    <w:rsid w:val="1FF759FA"/>
    <w:rsid w:val="201B237D"/>
    <w:rsid w:val="20310545"/>
    <w:rsid w:val="20FD17BE"/>
    <w:rsid w:val="215A52E1"/>
    <w:rsid w:val="23533E7C"/>
    <w:rsid w:val="23C431A9"/>
    <w:rsid w:val="24DB1E16"/>
    <w:rsid w:val="25021151"/>
    <w:rsid w:val="25387269"/>
    <w:rsid w:val="26C1503C"/>
    <w:rsid w:val="278C6EC9"/>
    <w:rsid w:val="27FC457D"/>
    <w:rsid w:val="281F18B9"/>
    <w:rsid w:val="284657F9"/>
    <w:rsid w:val="28CB28CC"/>
    <w:rsid w:val="29063421"/>
    <w:rsid w:val="29821D16"/>
    <w:rsid w:val="298F7BB0"/>
    <w:rsid w:val="29A8408B"/>
    <w:rsid w:val="2A833317"/>
    <w:rsid w:val="2B2D2CA0"/>
    <w:rsid w:val="2B7A3539"/>
    <w:rsid w:val="2D5A377F"/>
    <w:rsid w:val="2D9B2143"/>
    <w:rsid w:val="2DDA6B1D"/>
    <w:rsid w:val="2EC639EA"/>
    <w:rsid w:val="2EDC2A13"/>
    <w:rsid w:val="2F5E5B1E"/>
    <w:rsid w:val="2FB026FE"/>
    <w:rsid w:val="30071D11"/>
    <w:rsid w:val="304176E2"/>
    <w:rsid w:val="30FC739C"/>
    <w:rsid w:val="31CA56EC"/>
    <w:rsid w:val="32EE689B"/>
    <w:rsid w:val="332720C7"/>
    <w:rsid w:val="34227780"/>
    <w:rsid w:val="350F1133"/>
    <w:rsid w:val="37DC3A83"/>
    <w:rsid w:val="39822409"/>
    <w:rsid w:val="399868FF"/>
    <w:rsid w:val="3D174672"/>
    <w:rsid w:val="3DB54862"/>
    <w:rsid w:val="3DFB2C5A"/>
    <w:rsid w:val="3E03317C"/>
    <w:rsid w:val="3E2241BA"/>
    <w:rsid w:val="3E353EED"/>
    <w:rsid w:val="3EF721D5"/>
    <w:rsid w:val="41250249"/>
    <w:rsid w:val="416845DA"/>
    <w:rsid w:val="42D8786F"/>
    <w:rsid w:val="42F500EF"/>
    <w:rsid w:val="43361A71"/>
    <w:rsid w:val="44915BF6"/>
    <w:rsid w:val="487815A6"/>
    <w:rsid w:val="49551C16"/>
    <w:rsid w:val="4ACF6009"/>
    <w:rsid w:val="4BA91A77"/>
    <w:rsid w:val="4E143B1F"/>
    <w:rsid w:val="4F3E5A9C"/>
    <w:rsid w:val="4FCE56FA"/>
    <w:rsid w:val="4FFE1FFA"/>
    <w:rsid w:val="50F43794"/>
    <w:rsid w:val="512C73D2"/>
    <w:rsid w:val="51496635"/>
    <w:rsid w:val="52630BD1"/>
    <w:rsid w:val="53513120"/>
    <w:rsid w:val="5531145B"/>
    <w:rsid w:val="559D7181"/>
    <w:rsid w:val="561A7C48"/>
    <w:rsid w:val="57F76B16"/>
    <w:rsid w:val="58311475"/>
    <w:rsid w:val="589F0489"/>
    <w:rsid w:val="5A1C582F"/>
    <w:rsid w:val="5B8A0A45"/>
    <w:rsid w:val="5BE15F8D"/>
    <w:rsid w:val="5E9D546B"/>
    <w:rsid w:val="605204D7"/>
    <w:rsid w:val="6059702F"/>
    <w:rsid w:val="60600E46"/>
    <w:rsid w:val="609F4824"/>
    <w:rsid w:val="60B92304"/>
    <w:rsid w:val="61606922"/>
    <w:rsid w:val="629B43B7"/>
    <w:rsid w:val="63CC0145"/>
    <w:rsid w:val="64261B8A"/>
    <w:rsid w:val="647A23D7"/>
    <w:rsid w:val="68831B76"/>
    <w:rsid w:val="69E4773D"/>
    <w:rsid w:val="6B700FDA"/>
    <w:rsid w:val="6B7D28AC"/>
    <w:rsid w:val="6BC93D43"/>
    <w:rsid w:val="6C2015CA"/>
    <w:rsid w:val="6C2A1A18"/>
    <w:rsid w:val="6CE624E5"/>
    <w:rsid w:val="6D3C282E"/>
    <w:rsid w:val="6D47423E"/>
    <w:rsid w:val="6ED547AD"/>
    <w:rsid w:val="6EDB6AE2"/>
    <w:rsid w:val="6EDD18B4"/>
    <w:rsid w:val="6F474DBF"/>
    <w:rsid w:val="73075151"/>
    <w:rsid w:val="73760ACE"/>
    <w:rsid w:val="73B90BAC"/>
    <w:rsid w:val="75866801"/>
    <w:rsid w:val="766A7ED1"/>
    <w:rsid w:val="77BF5FFA"/>
    <w:rsid w:val="78DE5373"/>
    <w:rsid w:val="797F6648"/>
    <w:rsid w:val="7B821819"/>
    <w:rsid w:val="7B9A3006"/>
    <w:rsid w:val="7C3E08A5"/>
    <w:rsid w:val="7CAD4FBB"/>
    <w:rsid w:val="7CF404F4"/>
    <w:rsid w:val="7D252DA4"/>
    <w:rsid w:val="7D2A0889"/>
    <w:rsid w:val="7E68119A"/>
    <w:rsid w:val="7E860CC2"/>
    <w:rsid w:val="7EE8052D"/>
    <w:rsid w:val="7F203823"/>
    <w:rsid w:val="7FA3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10">
    <w:name w:val="font01"/>
    <w:basedOn w:val="9"/>
    <w:qFormat/>
    <w:uiPriority w:val="0"/>
    <w:rPr>
      <w:rFonts w:hint="eastAsia" w:ascii="宋体" w:hAnsi="宋体" w:eastAsia="宋体" w:cs="宋体"/>
      <w:color w:val="000000"/>
      <w:sz w:val="24"/>
      <w:szCs w:val="24"/>
      <w:u w:val="none"/>
    </w:rPr>
  </w:style>
  <w:style w:type="character" w:customStyle="1" w:styleId="11">
    <w:name w:val="font31"/>
    <w:basedOn w:val="9"/>
    <w:qFormat/>
    <w:uiPriority w:val="0"/>
    <w:rPr>
      <w:rFonts w:hint="default" w:ascii="Calibri" w:hAnsi="Calibri" w:cs="Calibri"/>
      <w:color w:val="000000"/>
      <w:sz w:val="24"/>
      <w:szCs w:val="24"/>
      <w:u w:val="none"/>
    </w:rPr>
  </w:style>
  <w:style w:type="character" w:customStyle="1" w:styleId="12">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7876</Words>
  <Characters>8383</Characters>
  <Lines>0</Lines>
  <Paragraphs>0</Paragraphs>
  <TotalTime>5</TotalTime>
  <ScaleCrop>false</ScaleCrop>
  <LinksUpToDate>false</LinksUpToDate>
  <CharactersWithSpaces>9512</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2026-01-08T03:21:00Z</cp:lastPrinted>
  <dcterms:modified xsi:type="dcterms:W3CDTF">2026-01-12T07:01:46Z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81340C606CA04112814D26F370DB17D6_13</vt:lpwstr>
  </property>
</Properties>
</file>