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hint="eastAsia" w:ascii="宋体" w:hAnsi="宋体" w:eastAsia="宋体" w:cs="宋体"/>
          <w:color w:val="auto"/>
          <w:sz w:val="44"/>
          <w:szCs w:val="44"/>
          <w:highlight w:val="none"/>
        </w:rPr>
      </w:pPr>
    </w:p>
    <w:p>
      <w:pPr>
        <w:overflowPunct w:val="0"/>
        <w:spacing w:line="360" w:lineRule="auto"/>
        <w:jc w:val="center"/>
        <w:rPr>
          <w:rFonts w:hint="eastAsia" w:ascii="宋体" w:hAnsi="宋体" w:eastAsia="宋体" w:cs="宋体"/>
          <w:b/>
          <w:color w:val="auto"/>
          <w:sz w:val="48"/>
          <w:szCs w:val="48"/>
          <w:highlight w:val="none"/>
        </w:rPr>
      </w:pPr>
    </w:p>
    <w:p>
      <w:pPr>
        <w:overflowPunct w:val="0"/>
        <w:spacing w:line="360" w:lineRule="auto"/>
        <w:jc w:val="center"/>
        <w:rPr>
          <w:rFonts w:hint="eastAsia" w:ascii="宋体" w:hAnsi="宋体" w:eastAsia="宋体" w:cs="宋体"/>
          <w:b/>
          <w:bCs/>
          <w:color w:val="auto"/>
          <w:spacing w:val="30"/>
          <w:w w:val="90"/>
          <w:sz w:val="48"/>
          <w:szCs w:val="48"/>
          <w:highlight w:val="none"/>
          <w:lang w:eastAsia="zh-CN"/>
        </w:rPr>
      </w:pPr>
      <w:r>
        <w:rPr>
          <w:rFonts w:hint="eastAsia" w:ascii="宋体" w:hAnsi="宋体" w:eastAsia="宋体" w:cs="宋体"/>
          <w:b/>
          <w:bCs/>
          <w:color w:val="auto"/>
          <w:spacing w:val="30"/>
          <w:w w:val="90"/>
          <w:sz w:val="48"/>
          <w:szCs w:val="48"/>
          <w:highlight w:val="none"/>
          <w:lang w:eastAsia="zh-CN"/>
        </w:rPr>
        <w:t>浏阳市大围山森林宾馆充电站采购项目</w:t>
      </w:r>
    </w:p>
    <w:p>
      <w:pPr>
        <w:overflowPunct w:val="0"/>
        <w:spacing w:line="360" w:lineRule="auto"/>
        <w:jc w:val="center"/>
        <w:rPr>
          <w:rFonts w:hint="eastAsia" w:ascii="宋体" w:hAnsi="宋体" w:eastAsia="宋体" w:cs="宋体"/>
          <w:b/>
          <w:bCs/>
          <w:color w:val="auto"/>
          <w:spacing w:val="30"/>
          <w:w w:val="90"/>
          <w:sz w:val="52"/>
          <w:szCs w:val="52"/>
          <w:highlight w:val="none"/>
        </w:rPr>
      </w:pPr>
    </w:p>
    <w:p>
      <w:pPr>
        <w:overflowPunct w:val="0"/>
        <w:spacing w:line="360" w:lineRule="auto"/>
        <w:jc w:val="center"/>
        <w:rPr>
          <w:rFonts w:hint="eastAsia"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pPr>
        <w:overflowPunct w:val="0"/>
        <w:jc w:val="center"/>
        <w:rPr>
          <w:rFonts w:hint="eastAsia" w:ascii="宋体" w:hAnsi="宋体" w:eastAsia="宋体" w:cs="宋体"/>
          <w:b/>
          <w:color w:val="auto"/>
          <w:sz w:val="28"/>
          <w:szCs w:val="28"/>
          <w:highlight w:val="none"/>
        </w:rPr>
      </w:pPr>
    </w:p>
    <w:p>
      <w:pPr>
        <w:overflowPunct w:val="0"/>
        <w:jc w:val="center"/>
        <w:rPr>
          <w:rFonts w:hint="eastAsia" w:ascii="宋体" w:hAnsi="宋体" w:eastAsia="宋体" w:cs="宋体"/>
          <w:color w:val="auto"/>
          <w:sz w:val="44"/>
          <w:szCs w:val="44"/>
          <w:highlight w:val="none"/>
        </w:rPr>
      </w:pPr>
    </w:p>
    <w:p>
      <w:pPr>
        <w:overflowPunct w:val="0"/>
        <w:jc w:val="center"/>
        <w:rPr>
          <w:rFonts w:hint="eastAsia" w:ascii="宋体" w:hAnsi="宋体" w:eastAsia="宋体" w:cs="宋体"/>
          <w:color w:val="auto"/>
          <w:sz w:val="44"/>
          <w:szCs w:val="44"/>
          <w:highlight w:val="none"/>
        </w:rPr>
      </w:pPr>
    </w:p>
    <w:p>
      <w:pPr>
        <w:overflowPunct w:val="0"/>
        <w:rPr>
          <w:rFonts w:hint="eastAsia" w:ascii="宋体" w:hAnsi="宋体" w:eastAsia="宋体" w:cs="宋体"/>
          <w:color w:val="auto"/>
          <w:sz w:val="32"/>
          <w:highlight w:val="none"/>
        </w:rPr>
      </w:pPr>
    </w:p>
    <w:p>
      <w:pPr>
        <w:overflowPunct w:val="0"/>
        <w:ind w:firstLine="420"/>
        <w:rPr>
          <w:rFonts w:hint="eastAsia" w:ascii="宋体" w:hAnsi="宋体" w:eastAsia="宋体" w:cs="宋体"/>
          <w:color w:val="auto"/>
          <w:sz w:val="32"/>
          <w:highlight w:val="none"/>
        </w:rPr>
      </w:pPr>
    </w:p>
    <w:p>
      <w:pPr>
        <w:overflowPunct w:val="0"/>
        <w:rPr>
          <w:rFonts w:hint="eastAsia" w:ascii="宋体" w:hAnsi="宋体" w:eastAsia="宋体" w:cs="宋体"/>
          <w:color w:val="auto"/>
          <w:sz w:val="32"/>
          <w:highlight w:val="none"/>
        </w:rPr>
      </w:pPr>
    </w:p>
    <w:p>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浏阳市鸿达投资有限公司</w:t>
      </w:r>
    </w:p>
    <w:p>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机构：</w:t>
      </w:r>
      <w:r>
        <w:rPr>
          <w:rFonts w:hint="eastAsia" w:ascii="宋体" w:hAnsi="宋体" w:eastAsia="宋体" w:cs="宋体"/>
          <w:color w:val="auto"/>
          <w:sz w:val="28"/>
          <w:szCs w:val="28"/>
          <w:highlight w:val="none"/>
          <w:lang w:eastAsia="zh-CN"/>
        </w:rPr>
        <w:t>长沙东睿工程咨询有限公司</w:t>
      </w:r>
    </w:p>
    <w:p>
      <w:pPr>
        <w:spacing w:line="640" w:lineRule="exact"/>
        <w:jc w:val="center"/>
        <w:rPr>
          <w:rFonts w:hint="eastAsia" w:ascii="宋体" w:hAnsi="宋体" w:eastAsia="宋体" w:cs="宋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二○二五年五月</w:t>
      </w:r>
    </w:p>
    <w:p>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bookmarkStart w:id="0" w:name="OLE_LINK5"/>
      <w:r>
        <w:rPr>
          <w:rFonts w:hint="eastAsia" w:ascii="宋体" w:hAnsi="宋体" w:eastAsia="宋体" w:cs="宋体"/>
          <w:b/>
          <w:color w:val="auto"/>
          <w:kern w:val="2"/>
          <w:sz w:val="36"/>
          <w:szCs w:val="36"/>
          <w:highlight w:val="none"/>
          <w:lang w:val="en-US" w:eastAsia="zh-CN" w:bidi="ar-SA"/>
        </w:rPr>
        <w:t>浏阳市大围山森林宾馆充电站采购项目招标公告</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采购项目名称：</w:t>
      </w:r>
      <w:r>
        <w:rPr>
          <w:rFonts w:hint="eastAsia" w:ascii="宋体" w:hAnsi="宋体" w:eastAsia="宋体" w:cs="宋体"/>
          <w:color w:val="auto"/>
          <w:kern w:val="2"/>
          <w:sz w:val="24"/>
          <w:szCs w:val="24"/>
          <w:highlight w:val="none"/>
          <w:lang w:val="en-US" w:eastAsia="zh-CN" w:bidi="ar-SA"/>
        </w:rPr>
        <w:t>浏阳市大围山森林宾馆充电站采购项目</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bookmarkStart w:id="1" w:name="OLE_LINK3"/>
      <w:r>
        <w:rPr>
          <w:rFonts w:hint="eastAsia" w:ascii="宋体" w:hAnsi="宋体" w:eastAsia="宋体" w:cs="宋体"/>
          <w:b/>
          <w:bCs/>
          <w:color w:val="auto"/>
          <w:kern w:val="2"/>
          <w:sz w:val="24"/>
          <w:szCs w:val="24"/>
          <w:highlight w:val="none"/>
          <w:lang w:val="en-US" w:eastAsia="zh-CN" w:bidi="ar-SA"/>
        </w:rPr>
        <w:t>采购上限价及内容：</w:t>
      </w:r>
      <w:bookmarkStart w:id="2" w:name="OLE_LINK1"/>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4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390743.79元（总价和单价均不得超采购清单价，否则作否决投标处理）。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4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bookmarkEnd w:id="2"/>
      <w:r>
        <w:rPr>
          <w:rFonts w:hint="eastAsia" w:ascii="宋体" w:hAnsi="宋体" w:eastAsia="宋体" w:cs="宋体"/>
          <w:b w:val="0"/>
          <w:bCs w:val="0"/>
          <w:color w:val="auto"/>
          <w:kern w:val="2"/>
          <w:sz w:val="24"/>
          <w:szCs w:val="24"/>
          <w:highlight w:val="none"/>
          <w:lang w:val="en-US" w:eastAsia="zh-CN" w:bidi="ar-SA"/>
        </w:rPr>
        <w:t>在大围山森林宾馆停车坪内采购安装直流充电站，详见采购清单。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482"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三、投标人的资格要求</w:t>
      </w:r>
      <w:r>
        <w:rPr>
          <w:rFonts w:hint="eastAsia" w:ascii="宋体" w:hAnsi="宋体" w:eastAsia="宋体" w:cs="宋体"/>
          <w:color w:val="auto"/>
          <w:kern w:val="2"/>
          <w:sz w:val="24"/>
          <w:szCs w:val="24"/>
          <w:highlight w:val="none"/>
          <w:lang w:val="en-US" w:eastAsia="zh-CN" w:bidi="ar-SA"/>
        </w:rPr>
        <w:t>：</w:t>
      </w:r>
    </w:p>
    <w:p>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1、基本资格条件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需具备《中华人民共和国政府采购法》第二十二条规定的基本资格条件，并提供以下资格证明文件：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（1）法人提交企业法人营业执照副本(或者事业单位法人证书)以及组织机构代码证副本复印件；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（2）依法缴纳税收的证明材料：提供下列材料之一：</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缴纳税收证明资料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（3）法人提交法定代表人身份证明原件或者法定代表人授权委托书原件及被授权人在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近三个月内任意一个月的社保证明并附法定代表人身份证明原件；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（4）其他说明</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①前文所称“近三个月”特指</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2月至2025年4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3.2、投标人特定资格条件：</w:t>
      </w:r>
      <w:r>
        <w:rPr>
          <w:rFonts w:hint="eastAsia" w:ascii="宋体" w:hAnsi="宋体" w:eastAsia="宋体" w:cs="宋体"/>
          <w:b/>
          <w:bCs/>
          <w:color w:val="auto"/>
          <w:spacing w:val="-2"/>
          <w:kern w:val="2"/>
          <w:sz w:val="24"/>
          <w:szCs w:val="24"/>
          <w:highlight w:val="none"/>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3.4、投标截止时间：</w:t>
      </w:r>
      <w:r>
        <w:rPr>
          <w:rFonts w:hint="eastAsia" w:ascii="宋体" w:hAnsi="宋体" w:eastAsia="宋体" w:cs="宋体"/>
          <w:color w:val="auto"/>
          <w:kern w:val="2"/>
          <w:sz w:val="24"/>
          <w:szCs w:val="24"/>
          <w:highlight w:val="none"/>
          <w:u w:val="single"/>
          <w:lang w:val="en-US" w:eastAsia="zh-CN" w:bidi="ar-SA"/>
        </w:rPr>
        <w:t>2025年6月3日10:30（北京时间）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递交投标文件地点：浏阳市人民东路60号2楼202室</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5、开标时间：</w:t>
      </w:r>
      <w:r>
        <w:rPr>
          <w:rFonts w:hint="eastAsia" w:ascii="宋体" w:hAnsi="宋体" w:eastAsia="宋体" w:cs="宋体"/>
          <w:color w:val="auto"/>
          <w:kern w:val="2"/>
          <w:sz w:val="24"/>
          <w:szCs w:val="24"/>
          <w:highlight w:val="none"/>
          <w:u w:val="single"/>
          <w:lang w:val="en-US" w:eastAsia="zh-CN" w:bidi="ar-SA"/>
        </w:rPr>
        <w:t>2025年6月3日10:30</w:t>
      </w:r>
      <w:r>
        <w:rPr>
          <w:rFonts w:hint="eastAsia" w:ascii="宋体" w:hAnsi="宋体" w:eastAsia="宋体" w:cs="宋体"/>
          <w:color w:val="auto"/>
          <w:sz w:val="24"/>
          <w:szCs w:val="24"/>
          <w:highlight w:val="none"/>
          <w:u w:val="single"/>
        </w:rPr>
        <w:t>（北京时间）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开标地点：浏阳市人民东路60号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202室</w:t>
      </w:r>
    </w:p>
    <w:p>
      <w:pPr>
        <w:keepNext w:val="0"/>
        <w:keepLines w:val="0"/>
        <w:pageBreakBefore w:val="0"/>
        <w:widowControl w:val="0"/>
        <w:kinsoku/>
        <w:wordWrap w:val="0"/>
        <w:overflowPunct/>
        <w:topLinePunct w:val="0"/>
        <w:autoSpaceDE/>
        <w:autoSpaceDN/>
        <w:bidi w:val="0"/>
        <w:adjustRightInd/>
        <w:snapToGrid/>
        <w:spacing w:line="480" w:lineRule="exact"/>
        <w:ind w:left="239" w:leftChars="114" w:firstLine="240" w:firstLineChars="1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3.6、</w:t>
      </w:r>
      <w:r>
        <w:rPr>
          <w:rFonts w:hint="eastAsia" w:ascii="宋体" w:hAnsi="宋体" w:eastAsia="宋体" w:cs="宋体"/>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宋体"/>
          <w:color w:val="auto"/>
          <w:kern w:val="2"/>
          <w:sz w:val="24"/>
          <w:szCs w:val="24"/>
          <w:highlight w:val="none"/>
          <w:u w:val="single"/>
          <w:lang w:val="en-US" w:eastAsia="zh-CN" w:bidi="ar-SA"/>
        </w:rPr>
        <w:t>2025年5月28日17:00</w:t>
      </w:r>
      <w:r>
        <w:rPr>
          <w:rFonts w:hint="eastAsia" w:ascii="宋体" w:hAnsi="宋体" w:eastAsia="宋体" w:cs="宋体"/>
          <w:color w:val="auto"/>
          <w:kern w:val="2"/>
          <w:sz w:val="24"/>
          <w:szCs w:val="24"/>
          <w:highlight w:val="none"/>
          <w:lang w:val="en-US" w:eastAsia="zh-CN" w:bidi="ar-SA"/>
        </w:rPr>
        <w:t>（北京时间）前以不署名的方式发送至2918265399@qq.com（邮件主题需填写该项目名称），过期不予受理。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3.8、鉴于本项目实行公开竞争，若递交投标文件的投标人或者有效投标人只有两家，本项目继续开展招标活动。经评标委员会评审合格且价格最低的投标人确定为第一中标候选人。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3.9、</w:t>
      </w:r>
      <w:r>
        <w:rPr>
          <w:rFonts w:hint="eastAsia" w:ascii="宋体" w:hAnsi="宋体" w:eastAsia="宋体" w:cs="宋体"/>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近三个月内任意一个月的社保证明。</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3.10、中标方应在公示期结束后7日内与招标人对接，并完成采购合同签订。逾期未签订的，视为放弃中标。投标人放弃中标的，在3年内不得参与浏发集团及下属公司任何项目的招标采购活动。</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w:t>
      </w:r>
      <w:bookmarkStart w:id="3" w:name="_Toc3730"/>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3"/>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bookmarkEnd w:id="1"/>
      <w:r>
        <w:rPr>
          <w:rFonts w:hint="eastAsia" w:ascii="宋体" w:hAnsi="宋体" w:eastAsia="宋体" w:cs="宋体"/>
          <w:b/>
          <w:bCs/>
          <w:color w:val="auto"/>
          <w:kern w:val="2"/>
          <w:sz w:val="24"/>
          <w:szCs w:val="24"/>
          <w:highlight w:val="none"/>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48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、联系方式：</w:t>
      </w:r>
      <w:r>
        <w:rPr>
          <w:rFonts w:hint="eastAsia" w:ascii="宋体" w:hAnsi="宋体" w:eastAsia="宋体" w:cs="宋体"/>
          <w:color w:val="auto"/>
          <w:sz w:val="24"/>
          <w:szCs w:val="24"/>
          <w:highlight w:val="none"/>
        </w:rPr>
        <w:t>有关此次采购事宜，可向下列单位查询：</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浏阳市鸿达投资有限公司</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pPr>
        <w:keepNext w:val="0"/>
        <w:keepLines w:val="0"/>
        <w:pageBreakBefore w:val="0"/>
        <w:tabs>
          <w:tab w:val="left" w:pos="364"/>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pPr>
        <w:keepNext w:val="0"/>
        <w:keepLines w:val="0"/>
        <w:pageBreakBefore w:val="0"/>
        <w:tabs>
          <w:tab w:val="left" w:pos="364"/>
        </w:tabs>
        <w:kinsoku/>
        <w:overflowPunct/>
        <w:topLinePunct w:val="0"/>
        <w:autoSpaceDE/>
        <w:autoSpaceDN/>
        <w:bidi w:val="0"/>
        <w:snapToGrid/>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pPr>
        <w:keepNext w:val="0"/>
        <w:keepLines w:val="0"/>
        <w:pageBreakBefore w:val="0"/>
        <w:tabs>
          <w:tab w:val="left" w:pos="364"/>
        </w:tabs>
        <w:kinsoku/>
        <w:overflowPunct/>
        <w:topLinePunct w:val="0"/>
        <w:autoSpaceDE/>
        <w:autoSpaceDN/>
        <w:bidi w:val="0"/>
        <w:snapToGrid/>
        <w:spacing w:line="480" w:lineRule="exact"/>
        <w:ind w:firstLine="480" w:firstLineChars="20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日</w:t>
      </w:r>
      <w:bookmarkEnd w:id="0"/>
    </w:p>
    <w:p>
      <w:pPr>
        <w:rPr>
          <w:rFonts w:hint="eastAsia" w:ascii="宋体" w:hAnsi="宋体" w:eastAsia="宋体" w:cs="宋体"/>
          <w:b/>
          <w:bCs/>
          <w:color w:val="auto"/>
          <w:kern w:val="2"/>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br w:type="page"/>
      </w:r>
    </w:p>
    <w:p>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t>浏阳市大围山森林宾馆充电站采购项目</w:t>
      </w:r>
      <w:r>
        <w:rPr>
          <w:rFonts w:hint="eastAsia" w:ascii="宋体" w:hAnsi="宋体" w:eastAsia="宋体" w:cs="宋体"/>
          <w:b/>
          <w:bCs/>
          <w:color w:val="auto"/>
          <w:kern w:val="0"/>
          <w:sz w:val="36"/>
          <w:szCs w:val="36"/>
          <w:highlight w:val="none"/>
          <w:lang w:val="en-US" w:eastAsia="zh-CN" w:bidi="ar-SA"/>
        </w:rPr>
        <w:t>招标文件</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长沙东睿工程咨询有限公司受浏阳市鸿达投资有限公司委托，就其</w:t>
      </w:r>
      <w:r>
        <w:rPr>
          <w:rFonts w:hint="eastAsia" w:ascii="宋体" w:hAnsi="宋体" w:eastAsia="宋体" w:cs="宋体"/>
          <w:color w:val="auto"/>
          <w:kern w:val="2"/>
          <w:sz w:val="24"/>
          <w:szCs w:val="24"/>
          <w:highlight w:val="none"/>
          <w:lang w:val="en-US" w:eastAsia="zh-CN" w:bidi="ar-SA"/>
        </w:rPr>
        <w:t>浏阳市大围山森林宾馆充电站采购项目</w:t>
      </w:r>
      <w:r>
        <w:rPr>
          <w:rFonts w:hint="eastAsia" w:ascii="宋体" w:hAnsi="宋体" w:eastAsia="宋体" w:cs="宋体"/>
          <w:color w:val="auto"/>
          <w:kern w:val="0"/>
          <w:sz w:val="24"/>
          <w:szCs w:val="24"/>
          <w:highlight w:val="none"/>
          <w:lang w:val="en-US" w:eastAsia="zh-CN" w:bidi="ar-SA"/>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lang w:eastAsia="zh-CN"/>
        </w:rPr>
        <w:t>在大围山森林宾馆停车坪内采购安装直流充电站，详见采购清单。</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：浏阳市大围山。</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交货与安装工期：</w:t>
      </w:r>
      <w:r>
        <w:rPr>
          <w:rFonts w:hint="eastAsia" w:ascii="宋体" w:hAnsi="宋体" w:eastAsia="宋体" w:cs="宋体"/>
          <w:b w:val="0"/>
          <w:bCs/>
          <w:color w:val="auto"/>
          <w:sz w:val="24"/>
          <w:szCs w:val="24"/>
          <w:highlight w:val="none"/>
          <w:lang w:val="en-US" w:eastAsia="zh-CN"/>
        </w:rPr>
        <w:t>合同签订后15日历天内货到并完成安装调试，达到交付使用标准。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b w:val="0"/>
          <w:bCs w:val="0"/>
          <w:color w:val="auto"/>
          <w:kern w:val="0"/>
          <w:sz w:val="24"/>
          <w:szCs w:val="24"/>
          <w:highlight w:val="none"/>
          <w:lang w:val="en-US" w:eastAsia="zh-CN" w:bidi="ar-SA"/>
        </w:rPr>
        <w:t>项目整体质保期为2年，其中充电桩质保期8年，质保期从项目正式验收合格之日起开始计算。</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2025年2月至2025年4月）依法缴纳税收的证明（纳税凭证复印件），或者委托他人缴纳的委托代办协议和近三个月内任意一个月（2025年2月至2025年4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7.2、特定资格条件：</w:t>
      </w:r>
      <w:r>
        <w:rPr>
          <w:rFonts w:hint="eastAsia" w:ascii="宋体" w:hAnsi="宋体" w:eastAsia="宋体" w:cs="宋体"/>
          <w:b/>
          <w:bCs/>
          <w:color w:val="auto"/>
          <w:spacing w:val="-2"/>
          <w:kern w:val="2"/>
          <w:sz w:val="24"/>
          <w:szCs w:val="24"/>
          <w:highlight w:val="none"/>
          <w:lang w:val="en-US" w:eastAsia="zh-CN" w:bidi="ar-SA"/>
        </w:rPr>
        <w:t>无。</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7.3、投标人有下列情形之一的，视为无效投标：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w:t>
      </w:r>
      <w:bookmarkStart w:id="4" w:name="OLE_LINK2"/>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：390743.79元（总价和单价均不得超采购清单价，否则作否决投标处理）</w:t>
      </w:r>
      <w:r>
        <w:rPr>
          <w:rFonts w:hint="eastAsia" w:ascii="宋体" w:hAnsi="宋体" w:eastAsia="宋体" w:cs="宋体"/>
          <w:color w:val="auto"/>
          <w:kern w:val="2"/>
          <w:sz w:val="24"/>
          <w:szCs w:val="24"/>
          <w:highlight w:val="none"/>
          <w:lang w:val="en-US" w:eastAsia="zh-CN" w:bidi="ar-SA"/>
        </w:rPr>
        <w:t>。</w:t>
      </w:r>
      <w:bookmarkEnd w:id="4"/>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9.1、交货地点：</w:t>
      </w:r>
      <w:r>
        <w:rPr>
          <w:rFonts w:hint="eastAsia" w:ascii="宋体" w:hAnsi="宋体" w:eastAsia="宋体" w:cs="宋体"/>
          <w:b/>
          <w:color w:val="auto"/>
          <w:sz w:val="24"/>
          <w:szCs w:val="24"/>
          <w:highlight w:val="none"/>
        </w:rPr>
        <w:t>投标人按要求将货品送至</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9.2、</w:t>
      </w:r>
      <w:r>
        <w:rPr>
          <w:rFonts w:hint="eastAsia" w:ascii="宋体" w:hAnsi="宋体" w:eastAsia="宋体" w:cs="宋体"/>
          <w:b/>
          <w:color w:val="auto"/>
          <w:sz w:val="24"/>
          <w:szCs w:val="24"/>
          <w:highlight w:val="none"/>
        </w:rPr>
        <w:t>付款方式</w:t>
      </w:r>
      <w:r>
        <w:rPr>
          <w:rFonts w:hint="eastAsia" w:ascii="宋体" w:hAnsi="宋体" w:eastAsia="宋体" w:cs="宋体"/>
          <w:b/>
          <w:color w:val="auto"/>
          <w:sz w:val="24"/>
          <w:szCs w:val="24"/>
          <w:highlight w:val="none"/>
          <w:lang w:eastAsia="zh-CN"/>
        </w:rPr>
        <w:t>：</w:t>
      </w:r>
      <w:bookmarkStart w:id="5" w:name="_Toc359570304"/>
      <w:bookmarkStart w:id="6" w:name="_Toc401742306"/>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bookmarkStart w:id="7" w:name="OLE_LINK7"/>
      <w:bookmarkStart w:id="8" w:name="OLE_LINK4"/>
      <w:r>
        <w:rPr>
          <w:rFonts w:hint="eastAsia" w:ascii="宋体" w:hAnsi="宋体" w:eastAsia="宋体" w:cs="宋体"/>
          <w:color w:val="auto"/>
          <w:sz w:val="24"/>
          <w:szCs w:val="24"/>
          <w:highlight w:val="none"/>
          <w:lang w:val="en-US" w:eastAsia="zh-CN"/>
        </w:rPr>
        <w:t>1、全部货物完成交货安装调试后进行预验收，预验收合格后支付合同金额的60%；试运行六个月，运行稳定后进行正式验收，验收合格后乙方报审结算，经甲方审计后支付至合同结算金额的95%。</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2、质量保证金按结算金额的5%提取，每2年支付质量保证金的20%，在质保期满后1个月内（无质量问题、售后服务纠纷及其他经济法律纠纷等）一次性付清余款（不计息）。</w:t>
      </w:r>
    </w:p>
    <w:bookmarkEnd w:id="7"/>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9.3、供货要求及相关标准</w:t>
      </w:r>
      <w:r>
        <w:rPr>
          <w:rFonts w:hint="eastAsia" w:ascii="宋体" w:hAnsi="宋体" w:eastAsia="宋体" w:cs="宋体"/>
          <w:b/>
          <w:color w:val="auto"/>
          <w:sz w:val="24"/>
          <w:szCs w:val="24"/>
          <w:highlight w:val="none"/>
          <w:lang w:eastAsia="zh-CN"/>
        </w:rPr>
        <w:t>：</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1、合同签</w:t>
      </w:r>
      <w:bookmarkStart w:id="15" w:name="_GoBack"/>
      <w:r>
        <w:rPr>
          <w:rFonts w:hint="eastAsia" w:ascii="宋体" w:hAnsi="宋体" w:eastAsia="宋体" w:cs="宋体"/>
          <w:color w:val="auto"/>
          <w:sz w:val="24"/>
          <w:szCs w:val="24"/>
          <w:highlight w:val="none"/>
          <w:lang w:val="en-US" w:eastAsia="zh-CN"/>
        </w:rPr>
        <w:t>订之日起</w:t>
      </w:r>
      <w:r>
        <w:rPr>
          <w:rFonts w:hint="eastAsia" w:ascii="宋体" w:hAnsi="宋体" w:eastAsia="宋体" w:cs="宋体"/>
          <w:color w:val="auto"/>
          <w:sz w:val="24"/>
          <w:szCs w:val="24"/>
          <w:highlight w:val="none"/>
          <w:lang w:val="en-US" w:eastAsia="zh-CN"/>
        </w:rPr>
        <w:t>1</w:t>
      </w:r>
      <w:bookmarkEnd w:id="15"/>
      <w:r>
        <w:rPr>
          <w:rFonts w:hint="eastAsia" w:ascii="宋体" w:hAnsi="宋体" w:eastAsia="宋体" w:cs="宋体"/>
          <w:color w:val="auto"/>
          <w:sz w:val="24"/>
          <w:szCs w:val="24"/>
          <w:highlight w:val="none"/>
          <w:lang w:val="en-US" w:eastAsia="zh-CN"/>
        </w:rPr>
        <w:t>5日历天内货到并完成安装调试，达到交付使用标准。</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2、必须对接现有充电桩管理平台。</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3、延期1天，按2000元/天进行处罚；延期15天以上，甲方有权解除合同。</w:t>
      </w:r>
    </w:p>
    <w:bookmarkEnd w:id="8"/>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十、其他要求：</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10.1、</w:t>
      </w:r>
      <w:r>
        <w:rPr>
          <w:rFonts w:hint="eastAsia" w:ascii="宋体" w:hAnsi="宋体" w:eastAsia="宋体" w:cs="宋体"/>
          <w:color w:val="auto"/>
          <w:sz w:val="24"/>
          <w:szCs w:val="24"/>
          <w:highlight w:val="none"/>
          <w:lang w:val="en-US" w:eastAsia="zh-CN"/>
        </w:rPr>
        <w:t>验收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（4）试运行验收，试运行6个月。试运行合格后，由使用部门签署试运行合格记录；试运行不合格的，要求限期整改，直至合格为止。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10.2、</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10.2.6质保期满后，设备终身维修，售后服务只收配件成本费；无论招标人是否另行选择维保供应商，中标人应及时优惠提供所需的备品备件。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10.3、</w:t>
      </w:r>
      <w:r>
        <w:rPr>
          <w:rFonts w:hint="eastAsia" w:ascii="宋体" w:hAnsi="宋体" w:eastAsia="宋体" w:cs="宋体"/>
          <w:color w:val="auto"/>
          <w:sz w:val="24"/>
          <w:szCs w:val="24"/>
          <w:highlight w:val="none"/>
        </w:rPr>
        <w:t>本项目采用全费用综合包干单价方式建设，</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应根据项目要求和现场情况，详细列明项目所需的设备及材料购置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产品运输保险保管、</w:t>
      </w:r>
      <w:r>
        <w:rPr>
          <w:rFonts w:hint="eastAsia" w:ascii="宋体" w:hAnsi="宋体" w:eastAsia="宋体" w:cs="宋体"/>
          <w:color w:val="auto"/>
          <w:sz w:val="24"/>
          <w:szCs w:val="24"/>
          <w:highlight w:val="none"/>
          <w:lang w:val="en-US" w:eastAsia="zh-CN"/>
        </w:rPr>
        <w:t>安装调试、</w:t>
      </w:r>
      <w:r>
        <w:rPr>
          <w:rFonts w:hint="eastAsia" w:ascii="宋体" w:hAnsi="宋体" w:eastAsia="宋体" w:cs="宋体"/>
          <w:color w:val="auto"/>
          <w:sz w:val="24"/>
          <w:szCs w:val="24"/>
          <w:highlight w:val="none"/>
        </w:rPr>
        <w:t>通过验收、培训、质保期免费保修维护等所有人工、管理、财务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不再支付其他任何费用。</w:t>
      </w:r>
    </w:p>
    <w:p>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10.4、所有参与项目的工作人员一切安全责任由中标人承担。</w:t>
      </w:r>
    </w:p>
    <w:bookmarkEnd w:id="5"/>
    <w:bookmarkEnd w:id="6"/>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十二、投标文件递交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宋体"/>
          <w:color w:val="auto"/>
          <w:kern w:val="2"/>
          <w:sz w:val="24"/>
          <w:szCs w:val="24"/>
          <w:highlight w:val="none"/>
          <w:u w:val="single"/>
          <w:lang w:val="en-US" w:eastAsia="zh-CN" w:bidi="ar-SA"/>
        </w:rPr>
        <w:t>2025</w:t>
      </w:r>
      <w:r>
        <w:rPr>
          <w:rFonts w:hint="eastAsia" w:ascii="宋体" w:hAnsi="宋体" w:eastAsia="宋体" w:cs="宋体"/>
          <w:color w:val="auto"/>
          <w:kern w:val="2"/>
          <w:sz w:val="24"/>
          <w:szCs w:val="24"/>
          <w:highlight w:val="none"/>
          <w:u w:val="none"/>
          <w:lang w:val="en-US" w:eastAsia="zh-CN" w:bidi="ar-SA"/>
        </w:rPr>
        <w:t>年</w:t>
      </w:r>
      <w:r>
        <w:rPr>
          <w:rFonts w:hint="eastAsia" w:ascii="宋体" w:hAnsi="宋体" w:eastAsia="宋体" w:cs="宋体"/>
          <w:color w:val="auto"/>
          <w:kern w:val="2"/>
          <w:sz w:val="24"/>
          <w:szCs w:val="24"/>
          <w:highlight w:val="none"/>
          <w:u w:val="single"/>
          <w:lang w:val="en-US" w:eastAsia="zh-CN" w:bidi="ar-SA"/>
        </w:rPr>
        <w:t xml:space="preserve"> 6 </w:t>
      </w:r>
      <w:r>
        <w:rPr>
          <w:rFonts w:hint="eastAsia" w:ascii="宋体" w:hAnsi="宋体" w:eastAsia="宋体" w:cs="宋体"/>
          <w:color w:val="auto"/>
          <w:kern w:val="2"/>
          <w:sz w:val="24"/>
          <w:szCs w:val="24"/>
          <w:highlight w:val="none"/>
          <w:u w:val="none"/>
          <w:lang w:val="en-US" w:eastAsia="zh-CN" w:bidi="ar-SA"/>
        </w:rPr>
        <w:t>月</w:t>
      </w:r>
      <w:r>
        <w:rPr>
          <w:rFonts w:hint="eastAsia" w:ascii="宋体" w:hAnsi="宋体" w:eastAsia="宋体" w:cs="宋体"/>
          <w:color w:val="auto"/>
          <w:kern w:val="2"/>
          <w:sz w:val="24"/>
          <w:szCs w:val="24"/>
          <w:highlight w:val="none"/>
          <w:u w:val="single"/>
          <w:lang w:val="en-US" w:eastAsia="zh-CN" w:bidi="ar-SA"/>
        </w:rPr>
        <w:t xml:space="preserve"> 3 </w:t>
      </w:r>
      <w:r>
        <w:rPr>
          <w:rFonts w:hint="eastAsia" w:ascii="宋体" w:hAnsi="宋体" w:eastAsia="宋体" w:cs="宋体"/>
          <w:color w:val="auto"/>
          <w:kern w:val="2"/>
          <w:sz w:val="24"/>
          <w:szCs w:val="24"/>
          <w:highlight w:val="none"/>
          <w:u w:val="none"/>
          <w:lang w:val="en-US" w:eastAsia="zh-CN" w:bidi="ar-SA"/>
        </w:rPr>
        <w:t>日</w:t>
      </w:r>
      <w:r>
        <w:rPr>
          <w:rFonts w:hint="eastAsia" w:ascii="宋体" w:hAnsi="宋体" w:eastAsia="宋体" w:cs="宋体"/>
          <w:color w:val="auto"/>
          <w:kern w:val="2"/>
          <w:sz w:val="24"/>
          <w:szCs w:val="24"/>
          <w:highlight w:val="none"/>
          <w:u w:val="single"/>
          <w:lang w:val="en-US" w:eastAsia="zh-CN" w:bidi="ar-SA"/>
        </w:rPr>
        <w:t xml:space="preserve"> 10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 xml:space="preserve"> 30 </w:t>
      </w:r>
      <w:r>
        <w:rPr>
          <w:rFonts w:hint="eastAsia" w:ascii="宋体" w:hAnsi="宋体" w:eastAsia="宋体" w:cs="宋体"/>
          <w:color w:val="auto"/>
          <w:sz w:val="24"/>
          <w:szCs w:val="24"/>
          <w:highlight w:val="none"/>
        </w:rPr>
        <w:t>分。开标地点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9" w:name="_Toc429827520"/>
      <w:bookmarkStart w:id="10" w:name="_Toc300677995"/>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w:t>
      </w:r>
      <w:r>
        <w:rPr>
          <w:rFonts w:hint="eastAsia" w:ascii="宋体" w:hAnsi="宋体" w:eastAsia="宋体" w:cs="宋体"/>
          <w:bCs/>
          <w:color w:val="auto"/>
          <w:sz w:val="24"/>
          <w:szCs w:val="24"/>
          <w:highlight w:val="none"/>
        </w:rPr>
        <w:t>段：</w:t>
      </w:r>
      <w:r>
        <w:rPr>
          <w:rFonts w:hint="eastAsia" w:ascii="宋体" w:hAnsi="宋体" w:eastAsia="宋体" w:cs="宋体"/>
          <w:bCs/>
          <w:color w:val="auto"/>
          <w:sz w:val="24"/>
          <w:szCs w:val="24"/>
          <w:highlight w:val="none"/>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浏阳市鸿达投资有限公司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highlight w:val="none"/>
          <w:lang w:val="en-US" w:eastAsia="zh-CN"/>
        </w:rPr>
        <w:sectPr>
          <w:pgSz w:w="11906" w:h="16838"/>
          <w:pgMar w:top="1531" w:right="1531" w:bottom="1531" w:left="1531" w:header="851" w:footer="992" w:gutter="0"/>
          <w:cols w:space="720" w:num="1"/>
          <w:docGrid w:type="lines" w:linePitch="312" w:charSpace="0"/>
        </w:sectPr>
      </w:pPr>
    </w:p>
    <w:p>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r>
        <w:rPr>
          <w:rFonts w:hint="eastAsia" w:ascii="宋体" w:hAnsi="宋体" w:eastAsia="宋体" w:cs="宋体"/>
          <w:b/>
          <w:bCs/>
          <w:color w:val="auto"/>
          <w:sz w:val="32"/>
          <w:highlight w:val="none"/>
          <w:lang w:val="en-US" w:eastAsia="zh-CN"/>
        </w:rPr>
        <w:t>浏阳市大围山森林宾馆充电站采购项目</w:t>
      </w:r>
      <w:r>
        <w:rPr>
          <w:rFonts w:hint="eastAsia" w:ascii="宋体" w:hAnsi="宋体" w:eastAsia="宋体" w:cs="宋体"/>
          <w:b/>
          <w:bCs/>
          <w:i w:val="0"/>
          <w:iCs w:val="0"/>
          <w:color w:val="auto"/>
          <w:kern w:val="0"/>
          <w:sz w:val="32"/>
          <w:szCs w:val="32"/>
          <w:highlight w:val="none"/>
          <w:u w:val="none"/>
          <w:lang w:val="en-US" w:eastAsia="zh-CN" w:bidi="ar"/>
        </w:rPr>
        <w:t>采购清单及要求</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3251"/>
        <w:gridCol w:w="6317"/>
        <w:gridCol w:w="576"/>
        <w:gridCol w:w="756"/>
        <w:gridCol w:w="1029"/>
        <w:gridCol w:w="1026"/>
        <w:gridCol w:w="4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产品名称</w:t>
            </w:r>
          </w:p>
        </w:tc>
        <w:tc>
          <w:tcPr>
            <w:tcW w:w="2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产品参数</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综合单价</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合  价</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电力电缆 ZC-YJV22-10kV-3x50</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1.名称:电缆敷设;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2.型号规格:ZC-YJV22-10kV-3x50;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3.材质:铜芯;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4.敷设方式、部位:穿管、室外;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5.含户内外冷缩电缆头3*50mm2/10KV;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6.电压等级（kV）:10KV;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7.含水性电缆防火涂料G60-3D、柔性有机防火堵料DFD-Ⅲ;</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142.06</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14916.30</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电缆标识牌、电缆井标识牌、电缆走向指示标识牌</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1.类型:电缆标识牌、电缆井标识牌、电缆走向指示标识牌;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2.规格型号:170*130;</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块</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18.20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200.20</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电杆组立 BY-190-15</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1.名称:部分预应力杆（法兰组装）;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2.材质:混凝土;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3.规格:BY-190-15;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4.含一二次融合柱上断路器;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5.含导线引线  JKLYJ-10kV-50;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6.含10kV大通流避雷器HY5WS-17/50;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7.含避雷器安装支架 L75*7*2300;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8.含隔离开关 GW31-630/12;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9.含单回隔离开关安装支架 L75*7*2300;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10.含电缆支架 L63*6*800;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11.含开关标识牌;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12.含垂直环形接地体;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13.综合运距.</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34957.64</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34957.64</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电缆保护管</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1.材质:MPP管2孔管φ175*10（含管枕）;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2.管基础:C20满包混凝土加固；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3.包括人行道的拆除、恢复、余渣外运等；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4.包括沟槽土方、开挖、回填、外运、弃土场费用等；</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85.00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415.07</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35280.95</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砖混普通工作井 3390*2940*2000</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1.电缆直线井2.94*3.39*2.0m;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2.M10水泥砂浆MU10砖砌筑;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3.垫层采用C20砼、混凝土采用C25砼；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4.井内壁采用1：3水泥砂浆粉面（内掺6%防水剂）;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5.井盖采用三页电力专用球墨铸铁井盖；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6.包含钢筋、模板制安;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7.Ф110PVC管暂按每井1米计算，结算时按实;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8.具体做法详施工图;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9.含土方开挖回填等一切工作内容（井壁四周砂石回填）。</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座</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13246.78</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39740.34</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户外欧式景观箱变 ZBW-400KVA/10KV</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1.名称:户外欧式景观箱变;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2.型号:ZBW-400KVA/10;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3.含有源滤波器;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4.10±2*2.5%/0.4KV Dyn11 K%=6,带不锈钢外壳,配风冷,温控系统装置,防护等级IP30;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5.含本体安装、基础、土方开挖回填外弃及调试等全部工作内容（含基础顶10#槽钢、垫层模板、砖基础、内壁及基础平台抹灰，超出地坪部分外贴瓷板，通风百叶）;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5.含配件10KV三相计量装置、负控装置、分散式直流电源7.2Ah、接地端子、接地母线、接地极、安全工具、箱变防凝露等； </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165377.16</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165377.16</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铜芯聚氯乙烯绝缘导线 BV-2.5mm2</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1.名称:铜芯聚氯乙烯绝缘布电线;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2.配线形式: 暗配;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3.型号 规格: BV-2.5;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4.材质: 铜芯;</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84.00</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铜芯聚氯乙烯绝缘导线 BV-4mm2</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1.名称:铜芯聚氯乙烯绝缘布电线;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2.配线形式: 暗配;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3.型号 规格: BV-4;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4.材质: 铜芯;</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112.00</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干式灭火器</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1.形式:ABC干粉灭火器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2.型号：MFT 移动方式：推车式 灭火剂量：25kg</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288.85</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288.85</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120kW立柱式直流充电桩（一托十）含1套超级终端</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1.名称:直流充电桩（双枪）;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2.单枪 120kW/桩，成套设备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3.落地(一体)式,带急停按钮;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4.含本体安装、基础、土方开挖回填外弃等全部工作内容;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5.含限位器、侧边警示漆、接地母线、接地极、防静电油漆等;</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27474.23</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54948.46</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电力电缆ZC-YJV22-0.4/1kV-4*120+1*70</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1.名称:电力电缆;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2.型号:ZC-YJV22-0.4/1kV;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3.规格:4*120+1*70mm2;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4.含冷缩电缆头;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5.材质:铜芯;</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90.00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315.67</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28410.30</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微型消防站</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1.名称:微型消防站;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2.规格:1800x1600x400mm含器材;</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具</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1980.09</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1980.09</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5"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CPVCΦ110*5.0配管</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1.名称:钢管埋地;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2.材质:CPVC;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3.型号、规格:Φ110*5.0;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4.配置形式:埋地敷设;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5.包括道路面层的拆除、恢复、余渣外运等；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6.包括沟槽土方、开挖、回填、外运、弃土场费用等；</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216.00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52.58</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11357.28</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干粉灭火器箱</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1.形式:灭火器箱（含灭火器）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2.规格、型号：4*2钢制灭火器箱 （MFSL4 2具装）</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具</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117.78</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353.34</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低压电缆井1000*1000*880mm</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1.名称规格尺寸（外径）：砌筑电缆井1000*1000*880mm；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2.垫层、基础材质及厚度:70mm厚C20砼垫层( 木模板)；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3.M5水泥砂浆砌MU10砖墙,厚度240mm；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4.井壁内侧1：3水泥砂浆抹面；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5.C20混凝土压顶制；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6.井盖:520*520mm球墨铸铁井盖井座；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7.100mm厚片石垫层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8.具体做法详见图纸;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9.含土方开挖回填等一切工作内容。</w:t>
            </w:r>
          </w:p>
        </w:tc>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座</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684.22</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2736.88</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c>
          <w:tcPr>
            <w:tcW w:w="4262" w:type="pct"/>
            <w:gridSpan w:val="5"/>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r>
              <w:rPr>
                <w:rFonts w:hint="eastAsia" w:ascii="微软雅黑" w:hAnsi="微软雅黑" w:eastAsia="微软雅黑" w:cs="微软雅黑"/>
                <w:b/>
                <w:bCs/>
                <w:i w:val="0"/>
                <w:iCs w:val="0"/>
                <w:color w:val="auto"/>
                <w:kern w:val="0"/>
                <w:sz w:val="21"/>
                <w:szCs w:val="21"/>
                <w:highlight w:val="none"/>
                <w:u w:val="none"/>
                <w:lang w:val="en-US" w:eastAsia="zh-CN" w:bidi="ar"/>
              </w:rPr>
              <w:t>含税、管理费、利润、采购及安装等全费用合计：</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390743.79</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right"/>
              <w:rPr>
                <w:rFonts w:hint="eastAsia" w:ascii="宋体" w:hAnsi="宋体" w:eastAsia="宋体" w:cs="宋体"/>
                <w:i w:val="0"/>
                <w:iCs w:val="0"/>
                <w:color w:val="auto"/>
                <w:sz w:val="18"/>
                <w:szCs w:val="18"/>
                <w:highlight w:val="none"/>
                <w:u w:val="none"/>
              </w:rPr>
            </w:pPr>
          </w:p>
        </w:tc>
      </w:tr>
    </w:tbl>
    <w:p>
      <w:pPr>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
          <w:bCs/>
          <w:color w:val="auto"/>
          <w:sz w:val="24"/>
          <w:szCs w:val="24"/>
          <w:highlight w:val="none"/>
        </w:rPr>
        <w:t>注：本项目需开具</w:t>
      </w:r>
      <w:bookmarkStart w:id="11" w:name="OLE_LINK6"/>
      <w:r>
        <w:rPr>
          <w:rFonts w:hint="eastAsia" w:ascii="宋体" w:hAnsi="宋体" w:eastAsia="宋体" w:cs="宋体"/>
          <w:b/>
          <w:bCs/>
          <w:color w:val="auto"/>
          <w:sz w:val="24"/>
          <w:szCs w:val="24"/>
          <w:highlight w:val="none"/>
        </w:rPr>
        <w:t>全额增值税专用发票</w:t>
      </w:r>
      <w:bookmarkEnd w:id="11"/>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32"/>
          <w:szCs w:val="32"/>
          <w:highlight w:val="none"/>
        </w:rPr>
        <w:br w:type="page"/>
      </w:r>
      <w:bookmarkEnd w:id="9"/>
      <w:bookmarkEnd w:id="10"/>
    </w:p>
    <w:p>
      <w:pPr>
        <w:spacing w:line="510" w:lineRule="exact"/>
        <w:rPr>
          <w:rFonts w:hint="eastAsia" w:ascii="宋体" w:hAnsi="宋体" w:eastAsia="宋体" w:cs="宋体"/>
          <w:color w:val="auto"/>
          <w:sz w:val="24"/>
          <w:highlight w:val="none"/>
        </w:rPr>
        <w:sectPr>
          <w:pgSz w:w="16838" w:h="11905" w:orient="landscape"/>
          <w:pgMar w:top="1531" w:right="1531" w:bottom="1531" w:left="1531" w:header="850" w:footer="992" w:gutter="0"/>
          <w:cols w:space="0" w:num="1"/>
          <w:rtlGutter w:val="0"/>
          <w:docGrid w:type="lines" w:linePitch="315" w:charSpace="0"/>
        </w:sectPr>
      </w:pPr>
    </w:p>
    <w:p>
      <w:pPr>
        <w:spacing w:line="510" w:lineRule="exact"/>
        <w:rPr>
          <w:rFonts w:hint="eastAsia" w:ascii="宋体" w:hAnsi="宋体" w:eastAsia="宋体" w:cs="宋体"/>
          <w:color w:val="auto"/>
          <w:sz w:val="24"/>
          <w:highlight w:val="none"/>
        </w:rPr>
      </w:pPr>
      <w:r>
        <w:rPr>
          <w:rFonts w:hint="eastAsia"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hint="eastAsia" w:ascii="宋体" w:hAnsi="宋体" w:eastAsia="宋体" w:cs="宋体"/>
          <w:color w:val="auto"/>
          <w:sz w:val="32"/>
          <w:highlight w:val="none"/>
        </w:rPr>
      </w:pPr>
    </w:p>
    <w:p>
      <w:pPr>
        <w:overflowPunct w:val="0"/>
        <w:spacing w:beforeLines="100"/>
        <w:jc w:val="center"/>
        <w:rPr>
          <w:rFonts w:hint="eastAsia" w:ascii="宋体" w:hAnsi="宋体" w:eastAsia="宋体" w:cs="宋体"/>
          <w:bCs/>
          <w:color w:val="auto"/>
          <w:sz w:val="36"/>
          <w:szCs w:val="36"/>
          <w:highlight w:val="none"/>
        </w:rPr>
      </w:pPr>
    </w:p>
    <w:p>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浏阳市大围山森林宾馆充电站采购项目</w:t>
      </w:r>
    </w:p>
    <w:p>
      <w:pPr>
        <w:overflowPunct w:val="0"/>
        <w:spacing w:beforeLines="10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overflowPunct w:val="0"/>
        <w:jc w:val="left"/>
        <w:rPr>
          <w:rFonts w:hint="eastAsia" w:ascii="宋体" w:hAnsi="宋体" w:eastAsia="宋体" w:cs="宋体"/>
          <w:color w:val="auto"/>
          <w:sz w:val="24"/>
          <w:szCs w:val="28"/>
          <w:highlight w:val="none"/>
        </w:rPr>
      </w:pPr>
    </w:p>
    <w:p>
      <w:pPr>
        <w:overflowPunct w:val="0"/>
        <w:jc w:val="left"/>
        <w:rPr>
          <w:rFonts w:hint="eastAsia" w:ascii="宋体" w:hAnsi="宋体" w:eastAsia="宋体" w:cs="宋体"/>
          <w:color w:val="auto"/>
          <w:sz w:val="24"/>
          <w:szCs w:val="28"/>
          <w:highlight w:val="none"/>
        </w:rPr>
      </w:pPr>
    </w:p>
    <w:p>
      <w:pPr>
        <w:overflowPunct w:val="0"/>
        <w:ind w:firstLine="2160" w:firstLineChars="900"/>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pPr>
        <w:overflowPunct w:val="0"/>
        <w:jc w:val="center"/>
        <w:rPr>
          <w:rFonts w:hint="eastAsia"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pPr>
        <w:overflowPunct w:val="0"/>
        <w:ind w:firstLine="2640" w:firstLineChars="1100"/>
        <w:jc w:val="center"/>
        <w:rPr>
          <w:rFonts w:hint="eastAsia" w:ascii="宋体" w:hAnsi="宋体" w:eastAsia="宋体" w:cs="宋体"/>
          <w:color w:val="auto"/>
          <w:sz w:val="36"/>
          <w:szCs w:val="36"/>
          <w:highlight w:val="none"/>
        </w:rPr>
      </w:pPr>
      <w:r>
        <w:rPr>
          <w:rFonts w:hint="eastAsia" w:ascii="宋体" w:hAnsi="宋体" w:eastAsia="宋体" w:cs="宋体"/>
          <w:color w:val="auto"/>
          <w:sz w:val="24"/>
          <w:szCs w:val="28"/>
          <w:highlight w:val="none"/>
          <w:lang w:eastAsia="zh-CN"/>
        </w:rPr>
        <w:t>日期：</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r>
        <w:rPr>
          <w:rFonts w:hint="eastAsia" w:ascii="宋体" w:hAnsi="宋体" w:eastAsia="宋体" w:cs="宋体"/>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pPr>
        <w:spacing w:line="420" w:lineRule="exact"/>
        <w:jc w:val="center"/>
        <w:rPr>
          <w:rFonts w:hint="eastAsia" w:ascii="宋体" w:hAnsi="宋体" w:eastAsia="宋体" w:cs="宋体"/>
          <w:color w:val="auto"/>
          <w:sz w:val="24"/>
          <w:highlight w:val="none"/>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spacing w:line="420" w:lineRule="exact"/>
        <w:ind w:firstLine="480"/>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hint="eastAsia" w:ascii="宋体" w:hAnsi="宋体" w:eastAsia="宋体" w:cs="宋体"/>
          <w:color w:val="auto"/>
          <w:sz w:val="24"/>
          <w:szCs w:val="24"/>
          <w:highlight w:val="none"/>
        </w:rPr>
        <w:sectPr>
          <w:pgSz w:w="11905" w:h="16838"/>
          <w:pgMar w:top="1531" w:right="1531" w:bottom="1531" w:left="1531" w:header="850" w:footer="992" w:gutter="0"/>
          <w:cols w:space="0" w:num="1"/>
          <w:rtlGutter w:val="0"/>
          <w:docGrid w:type="lines" w:linePitch="315"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二、</w:t>
      </w:r>
      <w:r>
        <w:rPr>
          <w:rFonts w:hint="eastAsia" w:ascii="宋体" w:hAnsi="宋体" w:eastAsia="宋体" w:cs="宋体"/>
          <w:b/>
          <w:color w:val="auto"/>
          <w:sz w:val="36"/>
          <w:szCs w:val="36"/>
          <w:highlight w:val="none"/>
        </w:rPr>
        <w:t>投标承诺汇总表</w:t>
      </w:r>
    </w:p>
    <w:tbl>
      <w:tblPr>
        <w:tblStyle w:val="3"/>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tc>
        <w:tc>
          <w:tcPr>
            <w:tcW w:w="7348" w:type="dxa"/>
            <w:vAlign w:val="center"/>
          </w:tcPr>
          <w:p>
            <w:pPr>
              <w:spacing w:line="7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浏阳市大围山森林宾馆充电站采购项目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7348" w:type="dxa"/>
            <w:vAlign w:val="center"/>
          </w:tcPr>
          <w:p>
            <w:pPr>
              <w:spacing w:line="7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交货与安装工期</w:t>
            </w:r>
            <w:r>
              <w:rPr>
                <w:rFonts w:hint="eastAsia" w:ascii="宋体" w:hAnsi="宋体" w:eastAsia="宋体" w:cs="宋体"/>
                <w:color w:val="auto"/>
                <w:sz w:val="24"/>
                <w:szCs w:val="24"/>
                <w:highlight w:val="none"/>
              </w:rPr>
              <w:t>承诺</w:t>
            </w:r>
          </w:p>
        </w:tc>
        <w:tc>
          <w:tcPr>
            <w:tcW w:w="7348" w:type="dxa"/>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合同签订后15日历天内货到并完成安装调试，达到交付使用标准。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质量要求承诺</w:t>
            </w:r>
          </w:p>
        </w:tc>
        <w:tc>
          <w:tcPr>
            <w:tcW w:w="7348" w:type="dxa"/>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rtl w:val="0"/>
                <w:lang w:val="zh-CN" w:eastAsia="zh-CN"/>
              </w:rPr>
              <w:t>项目整体质保期为2年，其中充电桩质保期8年，质保期从项目正式验收合格之日起开始计算。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p>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承诺</w:t>
            </w:r>
          </w:p>
        </w:tc>
        <w:tc>
          <w:tcPr>
            <w:tcW w:w="7348" w:type="dxa"/>
            <w:vAlign w:val="center"/>
          </w:tcPr>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1、全部货物完成交货安装调试后进行预验收，预验收合格后支付合同金额的60%；试运行六个月，运行稳定后进行正式验收，验收合格后乙方报审结算，经甲方审计后支付至合同结算金额的95%。</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sz w:val="24"/>
                <w:szCs w:val="24"/>
                <w:highlight w:val="none"/>
                <w:lang w:val="en-US" w:eastAsia="zh-CN"/>
              </w:rPr>
              <w:t>2、质量保证金按结算金额的5%提取，每2年支付质量保证金的20%，在质保期满后1个月内（无质量问题、售后服务纠纷及其他经济法律纠纷等）一次性付清余款（不计息）。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pPr>
        <w:spacing w:line="400" w:lineRule="exact"/>
        <w:jc w:val="center"/>
        <w:rPr>
          <w:rFonts w:hint="eastAsia" w:ascii="宋体" w:hAnsi="宋体" w:eastAsia="宋体" w:cs="宋体"/>
          <w:color w:val="auto"/>
          <w:sz w:val="24"/>
          <w:szCs w:val="24"/>
          <w:highlight w:val="none"/>
          <w:lang w:val="sq-AL" w:eastAsia="zh-CN"/>
        </w:rPr>
      </w:pPr>
    </w:p>
    <w:p>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pPr>
        <w:spacing w:line="400" w:lineRule="exact"/>
        <w:jc w:val="center"/>
        <w:rPr>
          <w:rFonts w:hint="eastAsia" w:ascii="宋体" w:hAnsi="宋体" w:eastAsia="宋体" w:cs="宋体"/>
          <w:color w:val="auto"/>
          <w:sz w:val="24"/>
          <w:szCs w:val="24"/>
          <w:highlight w:val="none"/>
          <w:lang w:val="sq-AL"/>
        </w:rPr>
      </w:pPr>
    </w:p>
    <w:p>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pPr>
        <w:spacing w:line="400" w:lineRule="exact"/>
        <w:jc w:val="right"/>
        <w:rPr>
          <w:rFonts w:hint="eastAsia"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pPr>
        <w:adjustRightInd w:val="0"/>
        <w:snapToGrid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djustRightInd w:val="0"/>
        <w:snapToGrid w:val="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3"/>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pPr>
        <w:spacing w:line="360" w:lineRule="exact"/>
        <w:ind w:firstLine="241" w:firstLineChars="100"/>
        <w:rPr>
          <w:rFonts w:hint="eastAsia" w:ascii="宋体" w:hAnsi="宋体" w:eastAsia="宋体" w:cs="宋体"/>
          <w:b/>
          <w:color w:val="auto"/>
          <w:sz w:val="24"/>
          <w:szCs w:val="24"/>
          <w:highlight w:val="none"/>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 w:val="32"/>
          <w:szCs w:val="32"/>
          <w:highlight w:val="none"/>
        </w:rPr>
      </w:pPr>
    </w:p>
    <w:p>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pPr>
        <w:adjustRightInd w:val="0"/>
        <w:snapToGrid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宋体" w:hAnsi="宋体" w:eastAsia="宋体" w:cs="宋体"/>
          <w:b/>
          <w:color w:val="auto"/>
          <w:sz w:val="30"/>
          <w:szCs w:val="30"/>
          <w:highlight w:val="none"/>
        </w:rPr>
        <w:t>服务说明</w:t>
      </w:r>
    </w:p>
    <w:p>
      <w:pPr>
        <w:adjustRightInd w:val="0"/>
        <w:snapToGrid w:val="0"/>
        <w:ind w:left="-88" w:leftChars="-42" w:firstLine="281" w:firstLineChars="100"/>
        <w:jc w:val="center"/>
        <w:rPr>
          <w:rFonts w:hint="eastAsia" w:ascii="宋体" w:hAnsi="宋体" w:eastAsia="宋体" w:cs="宋体"/>
          <w:b/>
          <w:bCs/>
          <w:color w:val="auto"/>
          <w:sz w:val="28"/>
          <w:szCs w:val="28"/>
          <w:highlight w:val="none"/>
        </w:rPr>
      </w:pPr>
    </w:p>
    <w:p>
      <w:pPr>
        <w:adjustRightInd w:val="0"/>
        <w:snapToGrid w:val="0"/>
        <w:ind w:left="-88" w:leftChars="-42" w:firstLine="210" w:firstLineChars="100"/>
        <w:rPr>
          <w:rFonts w:hint="eastAsia" w:ascii="宋体" w:hAnsi="宋体" w:eastAsia="宋体" w:cs="宋体"/>
          <w:bCs/>
          <w:color w:val="auto"/>
          <w:sz w:val="21"/>
          <w:szCs w:val="21"/>
          <w:highlight w:val="none"/>
        </w:rPr>
      </w:pPr>
    </w:p>
    <w:p>
      <w:pPr>
        <w:adjustRightInd w:val="0"/>
        <w:snapToGrid w:val="0"/>
        <w:ind w:left="-88" w:leftChars="-42" w:firstLine="210" w:firstLineChars="100"/>
        <w:rPr>
          <w:rFonts w:hint="eastAsia" w:ascii="宋体" w:hAnsi="宋体" w:eastAsia="宋体" w:cs="宋体"/>
          <w:color w:val="auto"/>
          <w:sz w:val="21"/>
          <w:szCs w:val="21"/>
          <w:highlight w:val="none"/>
        </w:rPr>
      </w:pPr>
    </w:p>
    <w:p>
      <w:pPr>
        <w:adjustRightInd w:val="0"/>
        <w:snapToGrid w:val="0"/>
        <w:ind w:left="-88" w:leftChars="-42"/>
        <w:outlineLvl w:val="0"/>
        <w:rPr>
          <w:rFonts w:hint="eastAsia" w:ascii="宋体" w:hAnsi="宋体" w:eastAsia="宋体" w:cs="宋体"/>
          <w:bCs/>
          <w:color w:val="auto"/>
          <w:sz w:val="24"/>
          <w:szCs w:val="24"/>
          <w:highlight w:val="none"/>
        </w:rPr>
      </w:pPr>
    </w:p>
    <w:p>
      <w:pPr>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日 期 ：  年  月  日</w:t>
      </w:r>
    </w:p>
    <w:p>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rPr>
        <w:br w:type="page"/>
      </w:r>
    </w:p>
    <w:p>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3"/>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bl>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注：如无偏离，则必须注明无偏离。</w:t>
      </w:r>
    </w:p>
    <w:p>
      <w:pPr>
        <w:adjustRightInd w:val="0"/>
        <w:snapToGrid w:val="0"/>
        <w:ind w:left="-88" w:leftChars="-42"/>
        <w:rPr>
          <w:rFonts w:hint="eastAsia" w:ascii="宋体" w:hAnsi="宋体" w:eastAsia="宋体" w:cs="宋体"/>
          <w:color w:val="auto"/>
          <w:sz w:val="24"/>
          <w:szCs w:val="24"/>
          <w:highlight w:val="none"/>
        </w:rPr>
      </w:pPr>
    </w:p>
    <w:p>
      <w:pPr>
        <w:adjustRightInd w:val="0"/>
        <w:snapToGrid w:val="0"/>
        <w:ind w:left="-88" w:leftChars="-42"/>
        <w:rPr>
          <w:rFonts w:hint="eastAsia" w:ascii="宋体" w:hAnsi="宋体" w:eastAsia="宋体" w:cs="宋体"/>
          <w:color w:val="auto"/>
          <w:sz w:val="24"/>
          <w:szCs w:val="24"/>
          <w:highlight w:val="none"/>
        </w:rPr>
      </w:pPr>
    </w:p>
    <w:p>
      <w:pPr>
        <w:adjustRightInd w:val="0"/>
        <w:snapToGrid w:val="0"/>
        <w:ind w:left="-88" w:leftChars="-42"/>
        <w:rPr>
          <w:rFonts w:hint="eastAsia" w:ascii="宋体" w:hAnsi="宋体" w:eastAsia="宋体" w:cs="宋体"/>
          <w:color w:val="auto"/>
          <w:sz w:val="24"/>
          <w:szCs w:val="24"/>
          <w:highlight w:val="none"/>
        </w:rPr>
      </w:pPr>
    </w:p>
    <w:p>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pPr>
        <w:adjustRightInd w:val="0"/>
        <w:snapToGrid w:val="0"/>
        <w:spacing w:line="360" w:lineRule="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spacing w:line="400" w:lineRule="exact"/>
        <w:jc w:val="right"/>
        <w:rPr>
          <w:rFonts w:hint="eastAsia" w:ascii="宋体" w:hAnsi="宋体" w:eastAsia="宋体" w:cs="宋体"/>
          <w:color w:val="auto"/>
          <w:sz w:val="24"/>
          <w:highlight w:val="none"/>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pPr>
        <w:spacing w:line="400" w:lineRule="exact"/>
        <w:jc w:val="right"/>
        <w:rPr>
          <w:rFonts w:hint="eastAsia" w:ascii="宋体" w:hAnsi="宋体" w:eastAsia="宋体" w:cs="宋体"/>
          <w:color w:val="auto"/>
          <w:sz w:val="24"/>
          <w:highlight w:val="none"/>
        </w:rPr>
      </w:pPr>
    </w:p>
    <w:p>
      <w:pPr>
        <w:spacing w:line="400" w:lineRule="exact"/>
        <w:jc w:val="right"/>
        <w:rPr>
          <w:rFonts w:hint="eastAsia" w:ascii="宋体" w:hAnsi="宋体" w:eastAsia="宋体" w:cs="宋体"/>
          <w:color w:val="auto"/>
          <w:sz w:val="24"/>
          <w:highlight w:val="none"/>
        </w:rPr>
      </w:pP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pPr>
        <w:spacing w:line="400" w:lineRule="exact"/>
        <w:ind w:right="600"/>
        <w:rPr>
          <w:rFonts w:hint="eastAsia" w:ascii="宋体" w:hAnsi="宋体" w:eastAsia="宋体" w:cs="宋体"/>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12" w:name="_Toc193115823"/>
      <w:bookmarkStart w:id="13" w:name="_Toc281562938"/>
      <w:bookmarkStart w:id="14" w:name="_Toc235592960"/>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2"/>
      <w:bookmarkEnd w:id="13"/>
      <w:bookmarkEnd w:id="14"/>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pPr>
        <w:spacing w:line="400" w:lineRule="exact"/>
        <w:rPr>
          <w:rFonts w:hint="eastAsia" w:ascii="宋体" w:hAnsi="宋体" w:eastAsia="宋体" w:cs="宋体"/>
          <w:color w:val="auto"/>
          <w:sz w:val="32"/>
          <w:szCs w:val="21"/>
          <w:highlight w:val="none"/>
        </w:rPr>
      </w:pPr>
    </w:p>
    <w:p>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pPr>
        <w:spacing w:line="240" w:lineRule="exact"/>
        <w:ind w:firstLine="480" w:firstLineChars="200"/>
        <w:rPr>
          <w:rFonts w:hint="eastAsia" w:ascii="宋体" w:hAnsi="宋体" w:eastAsia="宋体" w:cs="宋体"/>
          <w:color w:val="auto"/>
          <w:sz w:val="24"/>
          <w:highlight w:val="none"/>
        </w:rPr>
      </w:pPr>
    </w:p>
    <w:p>
      <w:pPr>
        <w:spacing w:line="240" w:lineRule="exact"/>
        <w:ind w:firstLine="480" w:firstLineChars="200"/>
        <w:rPr>
          <w:rFonts w:hint="eastAsia" w:ascii="宋体" w:hAnsi="宋体" w:eastAsia="宋体" w:cs="宋体"/>
          <w:color w:val="auto"/>
          <w:sz w:val="24"/>
          <w:highlight w:val="none"/>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pPr>
        <w:spacing w:line="240" w:lineRule="exact"/>
        <w:rPr>
          <w:rFonts w:hint="eastAsia" w:ascii="宋体" w:hAnsi="宋体" w:eastAsia="宋体" w:cs="宋体"/>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b/>
          <w:bCs/>
          <w:color w:val="auto"/>
          <w:sz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pPr>
        <w:widowControl w:val="0"/>
        <w:ind w:firstLine="640" w:firstLineChars="200"/>
        <w:jc w:val="both"/>
        <w:rPr>
          <w:rFonts w:hint="eastAsia" w:ascii="宋体" w:hAnsi="宋体" w:eastAsia="宋体" w:cs="宋体"/>
          <w:color w:val="auto"/>
          <w:kern w:val="2"/>
          <w:sz w:val="32"/>
          <w:szCs w:val="24"/>
          <w:highlight w:val="none"/>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pPr>
        <w:widowControl w:val="0"/>
        <w:spacing w:after="120"/>
        <w:ind w:left="420" w:leftChars="200" w:firstLine="482"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3"/>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pPr>
        <w:spacing w:line="480" w:lineRule="exact"/>
        <w:rPr>
          <w:rFonts w:hint="eastAsia" w:ascii="宋体" w:hAnsi="宋体" w:eastAsia="宋体" w:cs="宋体"/>
          <w:color w:val="auto"/>
          <w:sz w:val="30"/>
          <w:szCs w:val="30"/>
          <w:highlight w:val="none"/>
        </w:rPr>
      </w:pPr>
    </w:p>
    <w:p>
      <w:pPr>
        <w:spacing w:line="480" w:lineRule="exact"/>
        <w:rPr>
          <w:rFonts w:hint="eastAsia" w:ascii="宋体" w:hAnsi="宋体" w:eastAsia="宋体" w:cs="宋体"/>
          <w:color w:val="auto"/>
          <w:sz w:val="30"/>
          <w:szCs w:val="30"/>
          <w:highlight w:val="none"/>
        </w:rPr>
      </w:pPr>
    </w:p>
    <w:p>
      <w:pPr>
        <w:spacing w:line="480" w:lineRule="exact"/>
        <w:rPr>
          <w:rFonts w:hint="eastAsia" w:ascii="宋体" w:hAnsi="宋体" w:eastAsia="宋体" w:cs="宋体"/>
          <w:color w:val="auto"/>
          <w:sz w:val="30"/>
          <w:szCs w:val="30"/>
          <w:highlight w:val="none"/>
        </w:rPr>
      </w:pPr>
    </w:p>
    <w:p>
      <w:pPr>
        <w:adjustRightInd w:val="0"/>
        <w:snapToGrid w:val="0"/>
        <w:spacing w:line="360" w:lineRule="auto"/>
        <w:outlineLvl w:val="0"/>
        <w:rPr>
          <w:rFonts w:hint="eastAsia" w:ascii="宋体" w:hAnsi="宋体" w:eastAsia="宋体" w:cs="宋体"/>
          <w:b/>
          <w:color w:val="auto"/>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highlight w:val="none"/>
        </w:rPr>
        <w:sectPr>
          <w:footerReference r:id="rId5" w:type="first"/>
          <w:footerReference r:id="rId4" w:type="default"/>
          <w:pgSz w:w="11905" w:h="16838"/>
          <w:pgMar w:top="1531" w:right="1531" w:bottom="1531" w:left="1531" w:header="850" w:footer="992" w:gutter="0"/>
          <w:pgBorders>
            <w:top w:val="none" w:sz="0" w:space="0"/>
            <w:left w:val="none" w:sz="0" w:space="0"/>
            <w:bottom w:val="none" w:sz="0" w:space="0"/>
            <w:right w:val="none" w:sz="0" w:space="0"/>
          </w:pgBorders>
          <w:pgNumType w:fmt="decimal"/>
          <w:cols w:space="0" w:num="1"/>
          <w:rtlGutter w:val="0"/>
          <w:docGrid w:type="lines" w:linePitch="315" w:charSpace="0"/>
        </w:sectPr>
      </w:pPr>
    </w:p>
    <w:p>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七、投标人认为需要提供的其它资料</w:t>
      </w:r>
    </w:p>
    <w:p>
      <w:pPr>
        <w:rPr>
          <w:rFonts w:hint="eastAsia" w:ascii="宋体" w:hAnsi="宋体" w:eastAsia="宋体" w:cs="宋体"/>
          <w:color w:val="auto"/>
          <w:sz w:val="32"/>
          <w:highlight w:val="none"/>
        </w:rPr>
      </w:pPr>
    </w:p>
    <w:p>
      <w:pPr>
        <w:rPr>
          <w:rFonts w:hint="eastAsia" w:ascii="宋体" w:hAnsi="宋体" w:eastAsia="宋体" w:cs="宋体"/>
          <w:color w:val="auto"/>
          <w:highlight w:val="none"/>
        </w:rPr>
      </w:pPr>
    </w:p>
    <w:sectPr>
      <w:footerReference r:id="rId7" w:type="first"/>
      <w:footerReference r:id="rId6" w:type="default"/>
      <w:pgSz w:w="11905" w:h="16838"/>
      <w:pgMar w:top="1531" w:right="1531" w:bottom="1531" w:left="1531" w:header="850"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0425BC0"/>
    <w:rsid w:val="01993693"/>
    <w:rsid w:val="022B1413"/>
    <w:rsid w:val="0257598A"/>
    <w:rsid w:val="029F039A"/>
    <w:rsid w:val="02B631CA"/>
    <w:rsid w:val="02E3341B"/>
    <w:rsid w:val="02ED4364"/>
    <w:rsid w:val="03B66504"/>
    <w:rsid w:val="03F139E0"/>
    <w:rsid w:val="03F31506"/>
    <w:rsid w:val="04176D2B"/>
    <w:rsid w:val="044B6DCB"/>
    <w:rsid w:val="0462668B"/>
    <w:rsid w:val="04A17FBB"/>
    <w:rsid w:val="05066B4B"/>
    <w:rsid w:val="05107E95"/>
    <w:rsid w:val="054B4E30"/>
    <w:rsid w:val="066A5A55"/>
    <w:rsid w:val="07820F75"/>
    <w:rsid w:val="081E6D6D"/>
    <w:rsid w:val="0849203C"/>
    <w:rsid w:val="088017D6"/>
    <w:rsid w:val="08A12DDA"/>
    <w:rsid w:val="09095327"/>
    <w:rsid w:val="0AD83AC6"/>
    <w:rsid w:val="0C3C77C2"/>
    <w:rsid w:val="0CB437FC"/>
    <w:rsid w:val="0D705975"/>
    <w:rsid w:val="0E945864"/>
    <w:rsid w:val="0EBB70C4"/>
    <w:rsid w:val="0F3550C8"/>
    <w:rsid w:val="0FC46EA3"/>
    <w:rsid w:val="0FF22291"/>
    <w:rsid w:val="0FFA1E6E"/>
    <w:rsid w:val="0FFF4F13"/>
    <w:rsid w:val="1055163A"/>
    <w:rsid w:val="112C593C"/>
    <w:rsid w:val="1222745A"/>
    <w:rsid w:val="12C0517B"/>
    <w:rsid w:val="13D36C5E"/>
    <w:rsid w:val="141348F8"/>
    <w:rsid w:val="14C60571"/>
    <w:rsid w:val="152E4A94"/>
    <w:rsid w:val="170A0BE8"/>
    <w:rsid w:val="1720665E"/>
    <w:rsid w:val="17397720"/>
    <w:rsid w:val="180B12CE"/>
    <w:rsid w:val="18BC10DA"/>
    <w:rsid w:val="19B874E6"/>
    <w:rsid w:val="1A720AEE"/>
    <w:rsid w:val="1A8C5DB8"/>
    <w:rsid w:val="1AC612CA"/>
    <w:rsid w:val="1BE16B4B"/>
    <w:rsid w:val="1C6F24E2"/>
    <w:rsid w:val="1C9D605B"/>
    <w:rsid w:val="1DE2466D"/>
    <w:rsid w:val="1E026ABD"/>
    <w:rsid w:val="1F6244B2"/>
    <w:rsid w:val="1F8F2C28"/>
    <w:rsid w:val="1F93030E"/>
    <w:rsid w:val="20256A93"/>
    <w:rsid w:val="203171E6"/>
    <w:rsid w:val="211803A6"/>
    <w:rsid w:val="22071DB9"/>
    <w:rsid w:val="23636EA1"/>
    <w:rsid w:val="23E65186"/>
    <w:rsid w:val="24374FE7"/>
    <w:rsid w:val="243A027A"/>
    <w:rsid w:val="24577437"/>
    <w:rsid w:val="24765B0F"/>
    <w:rsid w:val="24881D2D"/>
    <w:rsid w:val="24E75661"/>
    <w:rsid w:val="255319AC"/>
    <w:rsid w:val="25F403A5"/>
    <w:rsid w:val="262E1D4D"/>
    <w:rsid w:val="277F5534"/>
    <w:rsid w:val="27842A7A"/>
    <w:rsid w:val="29693E94"/>
    <w:rsid w:val="296C2E8C"/>
    <w:rsid w:val="29A5770C"/>
    <w:rsid w:val="2A497953"/>
    <w:rsid w:val="2C1C7CD3"/>
    <w:rsid w:val="2C3818FC"/>
    <w:rsid w:val="2C6C370D"/>
    <w:rsid w:val="3007380B"/>
    <w:rsid w:val="302B327D"/>
    <w:rsid w:val="318D6246"/>
    <w:rsid w:val="33095248"/>
    <w:rsid w:val="339613FE"/>
    <w:rsid w:val="35D71366"/>
    <w:rsid w:val="390457DD"/>
    <w:rsid w:val="395835DE"/>
    <w:rsid w:val="39AB5E03"/>
    <w:rsid w:val="3A5835DF"/>
    <w:rsid w:val="3B292616"/>
    <w:rsid w:val="3B4C7172"/>
    <w:rsid w:val="3B8D6CB0"/>
    <w:rsid w:val="3C0D7E40"/>
    <w:rsid w:val="3CC1358A"/>
    <w:rsid w:val="3CEF6007"/>
    <w:rsid w:val="3D0575D8"/>
    <w:rsid w:val="3D934BE4"/>
    <w:rsid w:val="3E6B3DB3"/>
    <w:rsid w:val="3E8F54E1"/>
    <w:rsid w:val="3ECB78C6"/>
    <w:rsid w:val="3ECE7613"/>
    <w:rsid w:val="3F0F0517"/>
    <w:rsid w:val="3F903830"/>
    <w:rsid w:val="3FE060DB"/>
    <w:rsid w:val="40047C86"/>
    <w:rsid w:val="42907F08"/>
    <w:rsid w:val="458C5BFA"/>
    <w:rsid w:val="45D97854"/>
    <w:rsid w:val="463C33B6"/>
    <w:rsid w:val="476D64A6"/>
    <w:rsid w:val="47897F5F"/>
    <w:rsid w:val="47F46BC7"/>
    <w:rsid w:val="4A9106FD"/>
    <w:rsid w:val="4AC54443"/>
    <w:rsid w:val="4B0E4A28"/>
    <w:rsid w:val="4BA803F5"/>
    <w:rsid w:val="4CB0382E"/>
    <w:rsid w:val="4D9C7C8B"/>
    <w:rsid w:val="4DB669DA"/>
    <w:rsid w:val="4E5464D1"/>
    <w:rsid w:val="4FC9093A"/>
    <w:rsid w:val="5003644E"/>
    <w:rsid w:val="50546455"/>
    <w:rsid w:val="517E430A"/>
    <w:rsid w:val="522B08E2"/>
    <w:rsid w:val="52BB2633"/>
    <w:rsid w:val="533B2FA2"/>
    <w:rsid w:val="53513D1E"/>
    <w:rsid w:val="549537A4"/>
    <w:rsid w:val="551B39E5"/>
    <w:rsid w:val="56026953"/>
    <w:rsid w:val="56A34824"/>
    <w:rsid w:val="56AB2D7B"/>
    <w:rsid w:val="56AE6F7A"/>
    <w:rsid w:val="56F90CEB"/>
    <w:rsid w:val="57527466"/>
    <w:rsid w:val="58311772"/>
    <w:rsid w:val="58472D43"/>
    <w:rsid w:val="59701E26"/>
    <w:rsid w:val="59FA62BF"/>
    <w:rsid w:val="5BC00E43"/>
    <w:rsid w:val="5C877481"/>
    <w:rsid w:val="5E437E22"/>
    <w:rsid w:val="5EF70A55"/>
    <w:rsid w:val="5FBA204D"/>
    <w:rsid w:val="60EA6464"/>
    <w:rsid w:val="635308ED"/>
    <w:rsid w:val="638E7A78"/>
    <w:rsid w:val="63A7476C"/>
    <w:rsid w:val="644B3AE5"/>
    <w:rsid w:val="64874BF3"/>
    <w:rsid w:val="65AF4A62"/>
    <w:rsid w:val="65EC10C6"/>
    <w:rsid w:val="665C0351"/>
    <w:rsid w:val="66B60EF2"/>
    <w:rsid w:val="675D77EA"/>
    <w:rsid w:val="68906041"/>
    <w:rsid w:val="68EF2D67"/>
    <w:rsid w:val="69124CA8"/>
    <w:rsid w:val="69C77840"/>
    <w:rsid w:val="6A141E05"/>
    <w:rsid w:val="6B67752D"/>
    <w:rsid w:val="6BF3491C"/>
    <w:rsid w:val="6CA4030D"/>
    <w:rsid w:val="6D2D3E5E"/>
    <w:rsid w:val="6D4B5BE3"/>
    <w:rsid w:val="6DD27F64"/>
    <w:rsid w:val="6E396833"/>
    <w:rsid w:val="6E526272"/>
    <w:rsid w:val="6EDB6AE2"/>
    <w:rsid w:val="6F335A1C"/>
    <w:rsid w:val="6F754A3C"/>
    <w:rsid w:val="6FDA657A"/>
    <w:rsid w:val="7002625E"/>
    <w:rsid w:val="70271BB7"/>
    <w:rsid w:val="70BB79D3"/>
    <w:rsid w:val="710F4C54"/>
    <w:rsid w:val="72C85CEC"/>
    <w:rsid w:val="72DE6B3F"/>
    <w:rsid w:val="731019CA"/>
    <w:rsid w:val="73FF5520"/>
    <w:rsid w:val="74081181"/>
    <w:rsid w:val="74511EEF"/>
    <w:rsid w:val="754206C3"/>
    <w:rsid w:val="75B74C0D"/>
    <w:rsid w:val="76345069"/>
    <w:rsid w:val="77021825"/>
    <w:rsid w:val="77130569"/>
    <w:rsid w:val="79684983"/>
    <w:rsid w:val="799E6DA5"/>
    <w:rsid w:val="7A087776"/>
    <w:rsid w:val="7A1C5986"/>
    <w:rsid w:val="7A3D63E6"/>
    <w:rsid w:val="7BFE1DCD"/>
    <w:rsid w:val="7C262AEC"/>
    <w:rsid w:val="7C3639F5"/>
    <w:rsid w:val="7C457B4B"/>
    <w:rsid w:val="7C5036C5"/>
    <w:rsid w:val="7C611D76"/>
    <w:rsid w:val="7D9615AC"/>
    <w:rsid w:val="7E9C52E7"/>
    <w:rsid w:val="7ED056F7"/>
    <w:rsid w:val="7FA43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5">
    <w:name w:val="font61"/>
    <w:basedOn w:val="4"/>
    <w:qFormat/>
    <w:uiPriority w:val="0"/>
    <w:rPr>
      <w:rFonts w:hint="eastAsia" w:ascii="微软雅黑" w:hAnsi="微软雅黑" w:eastAsia="微软雅黑" w:cs="微软雅黑"/>
      <w:color w:val="FF0000"/>
      <w:sz w:val="22"/>
      <w:szCs w:val="22"/>
      <w:u w:val="none"/>
    </w:rPr>
  </w:style>
  <w:style w:type="character" w:customStyle="1" w:styleId="6">
    <w:name w:val="font41"/>
    <w:basedOn w:val="4"/>
    <w:qFormat/>
    <w:uiPriority w:val="0"/>
    <w:rPr>
      <w:rFonts w:hint="eastAsia" w:ascii="微软雅黑" w:hAnsi="微软雅黑" w:eastAsia="微软雅黑" w:cs="微软雅黑"/>
      <w:color w:val="000000"/>
      <w:sz w:val="22"/>
      <w:szCs w:val="22"/>
      <w:u w:val="none"/>
    </w:rPr>
  </w:style>
  <w:style w:type="character" w:customStyle="1" w:styleId="7">
    <w:name w:val="font71"/>
    <w:basedOn w:val="4"/>
    <w:qFormat/>
    <w:uiPriority w:val="0"/>
    <w:rPr>
      <w:rFonts w:hint="default" w:ascii="Times New Roman" w:hAnsi="Times New Roman" w:cs="Times New Roman"/>
      <w:color w:val="000000"/>
      <w:sz w:val="22"/>
      <w:szCs w:val="22"/>
      <w:u w:val="none"/>
    </w:rPr>
  </w:style>
  <w:style w:type="character" w:customStyle="1" w:styleId="8">
    <w:name w:val="font81"/>
    <w:basedOn w:val="4"/>
    <w:qFormat/>
    <w:uiPriority w:val="0"/>
    <w:rPr>
      <w:rFonts w:hint="eastAsia" w:ascii="宋体" w:hAnsi="宋体" w:eastAsia="宋体" w:cs="宋体"/>
      <w:color w:val="FF0000"/>
      <w:sz w:val="22"/>
      <w:szCs w:val="22"/>
      <w:u w:val="none"/>
    </w:rPr>
  </w:style>
  <w:style w:type="character" w:customStyle="1" w:styleId="9">
    <w:name w:val="font51"/>
    <w:basedOn w:val="4"/>
    <w:qFormat/>
    <w:uiPriority w:val="0"/>
    <w:rPr>
      <w:rFonts w:hint="eastAsia" w:ascii="微软雅黑" w:hAnsi="微软雅黑" w:eastAsia="微软雅黑" w:cs="微软雅黑"/>
      <w:color w:val="000000"/>
      <w:sz w:val="22"/>
      <w:szCs w:val="22"/>
      <w:u w:val="none"/>
    </w:rPr>
  </w:style>
  <w:style w:type="character" w:customStyle="1" w:styleId="10">
    <w:name w:val="font91"/>
    <w:basedOn w:val="4"/>
    <w:qFormat/>
    <w:uiPriority w:val="0"/>
    <w:rPr>
      <w:rFonts w:hint="eastAsia" w:ascii="宋体" w:hAnsi="宋体" w:eastAsia="宋体" w:cs="宋体"/>
      <w:color w:val="FF0000"/>
      <w:sz w:val="22"/>
      <w:szCs w:val="22"/>
      <w:u w:val="none"/>
    </w:rPr>
  </w:style>
  <w:style w:type="paragraph" w:customStyle="1" w:styleId="11">
    <w:name w:val="正文1_19"/>
    <w:qFormat/>
    <w:uiPriority w:val="0"/>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2">
    <w:name w:val="正文_20"/>
    <w:next w:val="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正文首行缩进 2_19"/>
    <w:next w:val="1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customStyle="1" w:styleId="14">
    <w:name w:val="正文文本缩进_20"/>
    <w:next w:val="12"/>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8474</Words>
  <Characters>9608</Characters>
  <Lines>0</Lines>
  <Paragraphs>0</Paragraphs>
  <TotalTime>2</TotalTime>
  <ScaleCrop>false</ScaleCrop>
  <LinksUpToDate>false</LinksUpToDate>
  <CharactersWithSpaces>10843</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cp:lastPrinted>2025-05-21T02:56:00Z</cp:lastPrinted>
  <dcterms:modified xsi:type="dcterms:W3CDTF">2025-05-26T07:20:52Z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5F1DE82FAC604EF28AC8E95916ECDB15_13</vt:lpwstr>
  </property>
</Properties>
</file>